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June 17,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 F-6</w:t>
      </w:r>
    </w:p>
    <w:p>
      <w:pPr>
        <w:spacing w:after="0" w:line="225"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 FOR</w:t>
      </w:r>
    </w:p>
    <w:p>
      <w:pPr>
        <w:spacing w:after="0" w:line="31"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DEPOSITARY SHARES EVIDENCED BY 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LEGEND BIOTECH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issuer of deposited securities as specified in its charter)</w:t>
      </w:r>
    </w:p>
    <w:p>
      <w:pPr>
        <w:spacing w:after="0" w:line="20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issuer's name into English)</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Cayman Islands</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 of issuer)</w:t>
      </w:r>
    </w:p>
    <w:p>
      <w:pPr>
        <w:spacing w:after="0" w:line="19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5"/>
          <w:szCs w:val="25"/>
          <w:b w:val="1"/>
          <w:bCs w:val="1"/>
          <w:color w:val="auto"/>
        </w:rPr>
        <w:t>JPMORGAN CHASE BANK, N.A.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depositary as specified in its charter)</w:t>
      </w:r>
    </w:p>
    <w:p>
      <w:pPr>
        <w:spacing w:after="0" w:line="20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270 Park Avenue, Floor 8</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Telephone: +1-800- 990-1135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Ying Huang,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 Biotech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2101 Cottontail Lane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Somerset, NJ 08873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+1-732-317-5050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agent for service)</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640" w:type="dxa"/>
            <w:vAlign w:val="bottom"/>
            <w:tcBorders>
              <w:bottom w:val="single" w:sz="8" w:color="auto"/>
            </w:tcBorders>
          </w:tcPr>
          <w:p>
            <w:pPr>
              <w:spacing w:after="0"/>
              <w:rPr>
                <w:sz w:val="20"/>
                <w:szCs w:val="20"/>
                <w:color w:val="auto"/>
              </w:rPr>
            </w:pPr>
          </w:p>
        </w:tc>
        <w:tc>
          <w:tcPr>
            <w:tcW w:w="660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Copies to:</w:t>
            </w:r>
          </w:p>
        </w:tc>
      </w:tr>
      <w:tr>
        <w:trPr>
          <w:trHeight w:val="403"/>
        </w:trPr>
        <w:tc>
          <w:tcPr>
            <w:tcW w:w="4640" w:type="dxa"/>
            <w:vAlign w:val="bottom"/>
            <w:tcBorders>
              <w:left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JPMorgan Chase Bank, N.A.</w:t>
            </w:r>
          </w:p>
        </w:tc>
        <w:tc>
          <w:tcPr>
            <w:tcW w:w="1240" w:type="dxa"/>
            <w:vAlign w:val="bottom"/>
            <w:tcBorders>
              <w:right w:val="single" w:sz="8" w:color="auto"/>
            </w:tcBorders>
          </w:tcPr>
          <w:p>
            <w:pPr>
              <w:spacing w:after="0"/>
              <w:rPr>
                <w:sz w:val="24"/>
                <w:szCs w:val="24"/>
                <w:color w:val="auto"/>
              </w:rPr>
            </w:pPr>
          </w:p>
        </w:tc>
        <w:tc>
          <w:tcPr>
            <w:tcW w:w="5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Scott R. Saks, Esq.</w:t>
            </w:r>
          </w:p>
        </w:tc>
      </w:tr>
      <w:tr>
        <w:trPr>
          <w:trHeight w:val="216"/>
        </w:trPr>
        <w:tc>
          <w:tcPr>
            <w:tcW w:w="4640" w:type="dxa"/>
            <w:vAlign w:val="bottom"/>
            <w:tcBorders>
              <w:left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270 Park Avenue, Floor 8</w:t>
            </w:r>
          </w:p>
        </w:tc>
        <w:tc>
          <w:tcPr>
            <w:tcW w:w="124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Norton Rose Fulbright US LLP</w:t>
            </w:r>
          </w:p>
        </w:tc>
      </w:tr>
      <w:tr>
        <w:trPr>
          <w:trHeight w:val="216"/>
        </w:trPr>
        <w:tc>
          <w:tcPr>
            <w:tcW w:w="4640" w:type="dxa"/>
            <w:vAlign w:val="bottom"/>
            <w:tcBorders>
              <w:left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124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1301 Avenue of the Americas</w:t>
            </w:r>
          </w:p>
        </w:tc>
      </w:tr>
      <w:tr>
        <w:trPr>
          <w:trHeight w:val="216"/>
        </w:trPr>
        <w:tc>
          <w:tcPr>
            <w:tcW w:w="4640" w:type="dxa"/>
            <w:vAlign w:val="bottom"/>
            <w:tcBorders>
              <w:left w:val="single" w:sz="8" w:color="auto"/>
            </w:tcBorders>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Telephone: +1-800-990-1135</w:t>
            </w:r>
          </w:p>
        </w:tc>
        <w:tc>
          <w:tcPr>
            <w:tcW w:w="1240" w:type="dxa"/>
            <w:vAlign w:val="bottom"/>
            <w:tcBorders>
              <w:right w:val="single" w:sz="8" w:color="auto"/>
            </w:tcBorders>
          </w:tcPr>
          <w:p>
            <w:pPr>
              <w:spacing w:after="0"/>
              <w:rPr>
                <w:sz w:val="18"/>
                <w:szCs w:val="18"/>
                <w:color w:val="auto"/>
              </w:rPr>
            </w:pPr>
          </w:p>
        </w:tc>
        <w:tc>
          <w:tcPr>
            <w:tcW w:w="5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New York 10019-6022</w:t>
            </w:r>
          </w:p>
        </w:tc>
      </w:tr>
      <w:tr>
        <w:trPr>
          <w:trHeight w:val="238"/>
        </w:trPr>
        <w:tc>
          <w:tcPr>
            <w:tcW w:w="4640" w:type="dxa"/>
            <w:vAlign w:val="bottom"/>
            <w:tcBorders>
              <w:left w:val="single" w:sz="8" w:color="auto"/>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5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Telephone: +1-212-318-3151</w:t>
            </w:r>
          </w:p>
        </w:tc>
      </w:tr>
    </w:tbl>
    <w:p>
      <w:pPr>
        <w:spacing w:after="0" w:line="1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It is proposed that this filing become effective under Rule 466</w:t>
      </w:r>
    </w:p>
    <w:p>
      <w:pPr>
        <w:spacing w:after="0" w:line="22" w:lineRule="exact"/>
        <w:rPr>
          <w:sz w:val="24"/>
          <w:szCs w:val="24"/>
          <w:color w:val="auto"/>
        </w:rPr>
      </w:pPr>
    </w:p>
    <w:p>
      <w:pPr>
        <w:ind w:left="4380" w:right="4880" w:hanging="5"/>
        <w:spacing w:after="0" w:line="233" w:lineRule="exact"/>
        <w:tabs>
          <w:tab w:leader="none" w:pos="463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immediately upon filing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on (Date) at (Time)</w:t>
      </w:r>
    </w:p>
    <w:p>
      <w:pPr>
        <w:spacing w:after="0" w:line="130"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540" w:type="dxa"/>
            <w:vAlign w:val="bottom"/>
            <w:tcBorders>
              <w:top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 of Each Class of</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7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 Maximum</w:t>
            </w: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20"/>
        </w:trPr>
        <w:tc>
          <w:tcPr>
            <w:tcW w:w="45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Securities to be Registered</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be Registered</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Aggregate Price Per</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Offering</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Registration Fee</w:t>
            </w:r>
          </w:p>
        </w:tc>
      </w:tr>
      <w:tr>
        <w:trPr>
          <w:trHeight w:val="275"/>
        </w:trPr>
        <w:tc>
          <w:tcPr>
            <w:tcW w:w="4540" w:type="dxa"/>
            <w:vAlign w:val="bottom"/>
            <w:tcBorders>
              <w:bottom w:val="single" w:sz="8" w:color="auto"/>
              <w:right w:val="single" w:sz="8" w:color="auto"/>
            </w:tcBorders>
          </w:tcPr>
          <w:p>
            <w:pPr>
              <w:spacing w:after="0"/>
              <w:rPr>
                <w:sz w:val="23"/>
                <w:szCs w:val="23"/>
                <w:color w:val="auto"/>
              </w:rPr>
            </w:pPr>
          </w:p>
        </w:tc>
        <w:tc>
          <w:tcPr>
            <w:tcW w:w="1400" w:type="dxa"/>
            <w:vAlign w:val="bottom"/>
            <w:tcBorders>
              <w:bottom w:val="single" w:sz="8" w:color="auto"/>
              <w:right w:val="single" w:sz="8" w:color="auto"/>
            </w:tcBorders>
          </w:tcPr>
          <w:p>
            <w:pPr>
              <w:spacing w:after="0"/>
              <w:rPr>
                <w:sz w:val="23"/>
                <w:szCs w:val="23"/>
                <w:color w:val="auto"/>
              </w:rPr>
            </w:pPr>
          </w:p>
        </w:tc>
        <w:tc>
          <w:tcPr>
            <w:tcW w:w="1720" w:type="dxa"/>
            <w:vAlign w:val="bottom"/>
            <w:tcBorders>
              <w:bottom w:val="single" w:sz="8" w:color="auto"/>
              <w:right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1"/>
              </w:rPr>
              <w:t xml:space="preserve">Unit </w:t>
            </w:r>
            <w:r>
              <w:rPr>
                <w:rFonts w:ascii="Times New Roman" w:cs="Times New Roman" w:eastAsia="Times New Roman" w:hAnsi="Times New Roman"/>
                <w:sz w:val="29"/>
                <w:szCs w:val="29"/>
                <w:b w:val="1"/>
                <w:bCs w:val="1"/>
                <w:color w:val="auto"/>
                <w:w w:val="91"/>
                <w:vertAlign w:val="superscript"/>
              </w:rPr>
              <w:t>(1)</w:t>
            </w:r>
          </w:p>
        </w:tc>
        <w:tc>
          <w:tcPr>
            <w:tcW w:w="1800" w:type="dxa"/>
            <w:vAlign w:val="bottom"/>
            <w:tcBorders>
              <w:bottom w:val="single" w:sz="8" w:color="auto"/>
              <w:right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2"/>
              </w:rPr>
              <w:t xml:space="preserve">Price </w:t>
            </w:r>
            <w:r>
              <w:rPr>
                <w:rFonts w:ascii="Times New Roman" w:cs="Times New Roman" w:eastAsia="Times New Roman" w:hAnsi="Times New Roman"/>
                <w:sz w:val="29"/>
                <w:szCs w:val="29"/>
                <w:b w:val="1"/>
                <w:bCs w:val="1"/>
                <w:color w:val="auto"/>
                <w:w w:val="92"/>
                <w:vertAlign w:val="superscript"/>
              </w:rPr>
              <w:t>(2)</w:t>
            </w:r>
          </w:p>
        </w:tc>
        <w:tc>
          <w:tcPr>
            <w:tcW w:w="1780" w:type="dxa"/>
            <w:vAlign w:val="bottom"/>
            <w:tcBorders>
              <w:bottom w:val="single" w:sz="8" w:color="auto"/>
            </w:tcBorders>
          </w:tcPr>
          <w:p>
            <w:pPr>
              <w:spacing w:after="0"/>
              <w:rPr>
                <w:sz w:val="23"/>
                <w:szCs w:val="23"/>
                <w:color w:val="auto"/>
              </w:rPr>
            </w:pPr>
          </w:p>
        </w:tc>
      </w:tr>
      <w:tr>
        <w:trPr>
          <w:trHeight w:val="191"/>
        </w:trPr>
        <w:tc>
          <w:tcPr>
            <w:tcW w:w="454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American Depositary Shares evidenced by American</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100,000,000</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$0.05</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$5,000,000.00</w:t>
            </w: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$690.50</w:t>
            </w:r>
          </w:p>
        </w:tc>
      </w:tr>
      <w:tr>
        <w:trPr>
          <w:trHeight w:val="216"/>
        </w:trPr>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Depositary Receipts, each American Depositary Share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American</w:t>
            </w:r>
          </w:p>
        </w:tc>
        <w:tc>
          <w:tcPr>
            <w:tcW w:w="17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45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representing two (2) ordinary shares, par value US$0.0001</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Depositary</w:t>
            </w:r>
          </w:p>
        </w:tc>
        <w:tc>
          <w:tcPr>
            <w:tcW w:w="172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45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 share, of Legend Biotech Corporation.</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72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r>
      <w:tr>
        <w:trPr>
          <w:trHeight w:val="20"/>
        </w:trPr>
        <w:tc>
          <w:tcPr>
            <w:tcW w:w="4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unit represents one American Depositary Share.</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457(k), such estimate is computed on the basis of the maximum aggregate fees or charges to be imposed in connection with the issuance of American Depositary Receipts evidencing American Depositary Shares.</w:t>
      </w:r>
    </w:p>
    <w:p>
      <w:pPr>
        <w:spacing w:after="0" w:line="182"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Pursuant to Rule 429, the Prospectus contained herein also relates to the American Depositary Shares registered under Form F-6 Registration Statement No. 333-238581. This Registration Statement also constitutes Post-Effective Amendment No. 1 to Registration Statement No. 333-238581.</w:t>
      </w:r>
    </w:p>
    <w:p>
      <w:pPr>
        <w:sectPr>
          <w:pgSz w:w="11900" w:h="16838" w:orient="portrait"/>
          <w:cols w:equalWidth="0" w:num="1">
            <w:col w:w="11240"/>
          </w:cols>
          <w:pgMar w:left="320" w:top="468" w:right="339" w:bottom="0" w:gutter="0" w:footer="0" w:header="0"/>
        </w:sectPr>
      </w:pPr>
    </w:p>
    <w:bookmarkStart w:id="1" w:name="page2"/>
    <w:bookmarkEnd w:id="1"/>
    <w:p>
      <w:pPr>
        <w:jc w:val="both"/>
        <w:spacing w:after="0" w:line="268"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114935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PROSPECTUS</w:t>
      </w:r>
    </w:p>
    <w:p>
      <w:pPr>
        <w:spacing w:after="0" w:line="20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Prospectus consists of the proposed form of American Depositary Receipt ("ADR" or "American Depositary Receipt") included as Exhibit A to the Deposit Agreement filed as Exhibit (a) to this Registration Statement on Form F-6,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SECURITIES TO BE REGISTERED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CROSS REFERENCE SHEET</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Number and Caption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11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157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of the depositary and the address of its principal executive office</w:t>
      </w:r>
    </w:p>
    <w:p>
      <w:pPr>
        <w:spacing w:after="0" w:line="200" w:lineRule="exact"/>
        <w:rPr>
          <w:sz w:val="20"/>
          <w:szCs w:val="20"/>
          <w:color w:val="auto"/>
        </w:rPr>
      </w:pPr>
    </w:p>
    <w:p>
      <w:pPr>
        <w:spacing w:after="0" w:line="24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2.    Title of the American Depositary Receipts and identity of the deposited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of Deposit:</w:t>
      </w:r>
    </w:p>
    <w:p>
      <w:pPr>
        <w:spacing w:after="0" w:line="225" w:lineRule="exact"/>
        <w:rPr>
          <w:sz w:val="20"/>
          <w:szCs w:val="20"/>
          <w:color w:val="auto"/>
        </w:rPr>
      </w:pPr>
    </w:p>
    <w:p>
      <w:pPr>
        <w:ind w:left="340" w:right="180" w:hanging="8"/>
        <w:spacing w:after="0" w:line="282" w:lineRule="auto"/>
        <w:tabs>
          <w:tab w:leader="none" w:pos="7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deposited securities represented by one unit of American Depositary Receipts</w:t>
      </w:r>
    </w:p>
    <w:p>
      <w:pPr>
        <w:spacing w:after="0" w:line="161"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for voting the deposited securities</w:t>
      </w:r>
    </w:p>
    <w:p>
      <w:pPr>
        <w:spacing w:after="0" w:line="225"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 for collecting and distributing dividends</w:t>
      </w:r>
    </w:p>
    <w:p>
      <w:pPr>
        <w:spacing w:after="0" w:line="225" w:lineRule="exact"/>
        <w:rPr>
          <w:rFonts w:ascii="Times New Roman" w:cs="Times New Roman" w:eastAsia="Times New Roman" w:hAnsi="Times New Roman"/>
          <w:sz w:val="18"/>
          <w:szCs w:val="18"/>
          <w:color w:val="auto"/>
        </w:rPr>
      </w:pPr>
    </w:p>
    <w:p>
      <w:pPr>
        <w:ind w:left="340" w:right="480" w:hanging="8"/>
        <w:spacing w:after="0" w:line="282" w:lineRule="auto"/>
        <w:tabs>
          <w:tab w:leader="none" w:pos="7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for transmitting notices, reports and proxy soliciting material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      Sale or exercise of rights</w:t>
      </w:r>
    </w:p>
    <w:p>
      <w:pPr>
        <w:spacing w:after="0" w:line="225" w:lineRule="exact"/>
        <w:rPr>
          <w:sz w:val="20"/>
          <w:szCs w:val="20"/>
          <w:color w:val="auto"/>
        </w:rPr>
      </w:pPr>
    </w:p>
    <w:p>
      <w:pPr>
        <w:ind w:left="340" w:right="160" w:hanging="8"/>
        <w:spacing w:after="0" w:line="282" w:lineRule="auto"/>
        <w:tabs>
          <w:tab w:leader="none" w:pos="79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or sale of securities resulting from dividends, splits or plans of reorganization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     Amendment, extension or termination of the deposit arrangements</w:t>
      </w:r>
    </w:p>
    <w:p>
      <w:pPr>
        <w:spacing w:after="0" w:line="225"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(h)     Rights that holders of American Depositary Receipts have to inspect the books of the depositary and the list of receipt holders</w:t>
      </w:r>
    </w:p>
    <w:p>
      <w:pPr>
        <w:spacing w:after="0" w:line="162" w:lineRule="exact"/>
        <w:rPr>
          <w:sz w:val="20"/>
          <w:szCs w:val="20"/>
          <w:color w:val="auto"/>
        </w:rPr>
      </w:pPr>
    </w:p>
    <w:p>
      <w:pPr>
        <w:ind w:left="340" w:right="540" w:hanging="8"/>
        <w:spacing w:after="0" w:line="282" w:lineRule="auto"/>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right to transfer or withdraw the underlying securities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       Limitation on the depositary’s liability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3.     Fees and charges that a holder of American Depositary Receipts may have to pay, either directly or indirectly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4.    Fees and other direct and indirect payments made by the depositary to the foreign issuer of the deposited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AVAILABLE INFORMATION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00"/>
        <w:spacing w:after="0" w:line="312" w:lineRule="auto"/>
        <w:rPr>
          <w:sz w:val="20"/>
          <w:szCs w:val="20"/>
          <w:color w:val="auto"/>
        </w:rPr>
      </w:pPr>
      <w:r>
        <w:rPr>
          <w:rFonts w:ascii="Times New Roman" w:cs="Times New Roman" w:eastAsia="Times New Roman" w:hAnsi="Times New Roman"/>
          <w:sz w:val="17"/>
          <w:szCs w:val="17"/>
          <w:color w:val="auto"/>
        </w:rPr>
        <w:t>Location in Form of American Depositary Receipt Filed Herewith as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Introductory paragraph and bottom of face of American Depositary Receipt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American Depositary Receipt, top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Face of American Depositary Receipt, upper right corner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(6), (11) and (12)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(4), (5), (7), (10), (11), (13) and (21)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(3), (8), (11) and (12)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(4), (5), (7) and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(3), (4), (5), (7), (10), (11), (13) and (21)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(15), (16) and (17)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(3)</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 (1), (2), (4), (5) and (6)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(14), (17), (19) and (20)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 (8)</w:t>
      </w:r>
    </w:p>
    <w:p>
      <w:pPr>
        <w:spacing w:after="0" w:line="200" w:lineRule="exact"/>
        <w:rPr>
          <w:sz w:val="20"/>
          <w:szCs w:val="20"/>
          <w:color w:val="auto"/>
        </w:rPr>
      </w:pPr>
    </w:p>
    <w:p>
      <w:pPr>
        <w:sectPr>
          <w:pgSz w:w="11900" w:h="16838" w:orient="portrait"/>
          <w:cols w:equalWidth="0" w:num="2">
            <w:col w:w="5840" w:space="360"/>
            <w:col w:w="5040"/>
          </w:cols>
          <w:pgMar w:left="320" w:top="900"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Legend Biotech Corporation is subject to the periodic reporting requirements of the Securities Exchange Act of 1934, as amended, and accordingly files certain reports with the Securities and Exchange Commission. These reports can be inspected and retrieved by holders of American Depositary Receipts through the EDGAR system on the Securities and Exchange Commission’s Internet Website, currently located at www.sec.gov, and can be inspected and copied at public reference facilities maintained by the Securities and Exchange Commission, currently located at 100 F Street, N.E., 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EXHIBITS</w:t>
      </w:r>
    </w:p>
    <w:p>
      <w:pPr>
        <w:spacing w:after="0" w:line="225" w:lineRule="exact"/>
        <w:rPr>
          <w:sz w:val="20"/>
          <w:szCs w:val="20"/>
          <w:color w:val="auto"/>
        </w:rPr>
      </w:pPr>
    </w:p>
    <w:p>
      <w:pPr>
        <w:jc w:val="both"/>
        <w:ind w:left="980" w:hanging="648"/>
        <w:spacing w:after="0" w:line="268"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 of Deposit Agreement</w:t>
      </w:r>
      <w:r>
        <w:rPr>
          <w:rFonts w:ascii="Times New Roman" w:cs="Times New Roman" w:eastAsia="Times New Roman" w:hAnsi="Times New Roman"/>
          <w:sz w:val="18"/>
          <w:szCs w:val="18"/>
          <w:color w:val="auto"/>
        </w:rPr>
        <w:t>. Deposit Agreement, dated as of June 5, 2020, among Legend Biotech Corporation, JPMorgan Chase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 as depositary (the “Depositary”), and all holders and beneficial owners from time to time of American Depositary Receipts (“ADRs”) issued thereunder (the “Deposit Agreement”), including the form of ADR attached as Exhibit A thereto. Filed herewith as Exhibit (a).</w:t>
      </w:r>
    </w:p>
    <w:p>
      <w:pPr>
        <w:spacing w:after="0" w:line="170"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Any other agreement to which the Depositary is a party relating to the issuance of the American Depositary Shares registered hereby or the custody of the deposited securities represented thereby</w:t>
      </w:r>
      <w:r>
        <w:rPr>
          <w:rFonts w:ascii="Times New Roman" w:cs="Times New Roman" w:eastAsia="Times New Roman" w:hAnsi="Times New Roman"/>
          <w:sz w:val="18"/>
          <w:szCs w:val="18"/>
          <w:color w:val="auto"/>
        </w:rPr>
        <w:t>. Not Applicable.</w:t>
      </w:r>
    </w:p>
    <w:p>
      <w:pPr>
        <w:spacing w:after="0" w:line="154"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Every material contract relating to the deposited securities between the Depositary and the issuer of the deposited securities in effect at any time within the last three years</w:t>
      </w:r>
      <w:r>
        <w:rPr>
          <w:rFonts w:ascii="Times New Roman" w:cs="Times New Roman" w:eastAsia="Times New Roman" w:hAnsi="Times New Roman"/>
          <w:sz w:val="18"/>
          <w:szCs w:val="18"/>
          <w:color w:val="auto"/>
        </w:rPr>
        <w:t>. Not Applicable.</w:t>
      </w:r>
    </w:p>
    <w:p>
      <w:pPr>
        <w:spacing w:after="0" w:line="154"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 of Norton Rose Fulbright US LLP, counsel to the Depositary, as to the legality of the securities being registered</w:t>
      </w:r>
      <w:r>
        <w:rPr>
          <w:rFonts w:ascii="Times New Roman" w:cs="Times New Roman" w:eastAsia="Times New Roman" w:hAnsi="Times New Roman"/>
          <w:sz w:val="18"/>
          <w:szCs w:val="18"/>
          <w:color w:val="auto"/>
        </w:rPr>
        <w:t>.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herewith as Exhibit (d).</w:t>
      </w:r>
    </w:p>
    <w:p>
      <w:pPr>
        <w:spacing w:after="0" w:line="154"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Certification under Rule 466. </w:t>
      </w:r>
      <w:r>
        <w:rPr>
          <w:rFonts w:ascii="Times New Roman" w:cs="Times New Roman" w:eastAsia="Times New Roman" w:hAnsi="Times New Roman"/>
          <w:sz w:val="18"/>
          <w:szCs w:val="18"/>
          <w:color w:val="auto"/>
        </w:rPr>
        <w:t>Filed herewith as Exhibit (e).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 of Attorney of certain officers and directors of the Company. </w:t>
      </w:r>
      <w:r>
        <w:rPr>
          <w:rFonts w:ascii="Times New Roman" w:cs="Times New Roman" w:eastAsia="Times New Roman" w:hAnsi="Times New Roman"/>
          <w:sz w:val="18"/>
          <w:szCs w:val="18"/>
          <w:color w:val="auto"/>
        </w:rPr>
        <w:t>Set forth on the signature pages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UNDERTAKINGS</w:t>
      </w:r>
    </w:p>
    <w:p>
      <w:pPr>
        <w:spacing w:after="0" w:line="229"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hereby undertakes to make available at the principal office of the Depositary in the United States, for inspection by holders of the American Depositary Receipts,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amounts of fees charged are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American Depositary Receipt thirty days before any change in the fee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JPMorgan Chase Bank, N.A., acting solely in its capacity as depositary (the “Depositary”) on behalf of the legal entity created by the Deposit Agreement (the “Deposit Agreement”) among Legend Biotech Corporation, the Depositary and all Holders and Beneficial Owners from time to time of American Depositary Receipts (“ADRs”)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June 17, 2026.</w:t>
      </w:r>
    </w:p>
    <w:p>
      <w:pPr>
        <w:spacing w:after="0" w:line="18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Legal entity created by the Deposit Agreement for the issuance of ADRs</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evidencing American Depositary Shares</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By:  JPMORGAN CHASE BANK, N.A., solely in its capacity as</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Depositary</w:t>
      </w:r>
    </w:p>
    <w:p>
      <w:pPr>
        <w:spacing w:after="0" w:line="207" w:lineRule="exact"/>
        <w:rPr>
          <w:sz w:val="20"/>
          <w:szCs w:val="20"/>
          <w:color w:val="auto"/>
        </w:rPr>
      </w:pPr>
    </w:p>
    <w:p>
      <w:pPr>
        <w:ind w:left="620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Lisa M. Hayes</w:t>
      </w:r>
    </w:p>
    <w:p>
      <w:pPr>
        <w:spacing w:after="0" w:line="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 Lisa M.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-127635</wp:posOffset>
            </wp:positionV>
            <wp:extent cx="29146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7" w:lineRule="exact"/>
        <w:rPr>
          <w:sz w:val="20"/>
          <w:szCs w:val="20"/>
          <w:color w:val="auto"/>
        </w:rPr>
      </w:pPr>
    </w:p>
    <w:p>
      <w:pPr>
        <w:ind w:left="666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Legend Biotech Corporation certifies that it has reasonable grounds to believe that all the requirements for filing on Form F-6 are met and has duly caused this Registration Statement on Form F-6 to be signed on its behalf by the undersigned, thereunto duly authorized, in Somerset, New Jersey, on June 17, 2026.</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LEGEND BIOTECH CORPORATION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Ying Huang,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Ying Huang, Ph.D.</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Ying Huang, Ph.D. and Carlos Santos Garcia, and each of them, his or her true and lawful agent, proxy and attorney-in-fact, with full power of substitution and resubstitution, for and in his or her name, place and stead, in any and all capacities, to (i) act on, sign and file with the Securities and Exchange Commission any and all amendments (including post-effective amendments) to this Registration Statement on Form F-6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w:t>
      </w:r>
    </w:p>
    <w:p>
      <w:pPr>
        <w:spacing w:after="0" w:line="5" w:lineRule="exact"/>
        <w:rPr>
          <w:sz w:val="20"/>
          <w:szCs w:val="20"/>
          <w:color w:val="auto"/>
        </w:rPr>
      </w:pPr>
    </w:p>
    <w:p>
      <w:pPr>
        <w:jc w:val="both"/>
        <w:ind w:firstLine="8"/>
        <w:spacing w:after="0" w:line="253" w:lineRule="auto"/>
        <w:tabs>
          <w:tab w:leader="none" w:pos="3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on and file any supplement to any prospectus included in this Registration Statement on Form F-6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on Form F-6 has been signed by the following persons in the capacities indicated on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71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SIGNATURES</w:t>
            </w:r>
          </w:p>
        </w:tc>
      </w:tr>
      <w:tr>
        <w:trPr>
          <w:trHeight w:val="432"/>
        </w:trPr>
        <w:tc>
          <w:tcPr>
            <w:tcW w:w="412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425"/>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Ying Huang, Ph.D.</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Ying Huang, Ph.D.</w:t>
            </w:r>
          </w:p>
        </w:tc>
        <w:tc>
          <w:tcPr>
            <w:tcW w:w="1520" w:type="dxa"/>
            <w:vAlign w:val="bottom"/>
          </w:tcPr>
          <w:p>
            <w:pPr>
              <w:spacing w:after="0"/>
              <w:rPr>
                <w:sz w:val="19"/>
                <w:szCs w:val="19"/>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Carlos Santos Garcia</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Carlos Santos Garcia</w:t>
            </w:r>
          </w:p>
        </w:tc>
        <w:tc>
          <w:tcPr>
            <w:tcW w:w="1520" w:type="dxa"/>
            <w:vAlign w:val="bottom"/>
          </w:tcPr>
          <w:p>
            <w:pPr>
              <w:spacing w:after="0"/>
              <w:rPr>
                <w:sz w:val="19"/>
                <w:szCs w:val="19"/>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Fangliang Zhang, Ph.D.</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Fangliang Zhang, Ph.D.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Ye Wang, M.S.</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Ye Wang, M.S.</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Jiange (Robin) Meng</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Jiange (Robin) Meng</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Salovey, Ph.D.</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Peter Salovey, Ph.D.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Corazon Dating Sanders, Ph.D.</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Corazon Dating Sanders, Ph.D.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Darren Xiaohui Ji, M.D., Ph.D.</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Darren Xiaohui Ji, M.D., Ph.D.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Patrick Casey, Ph.D.</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Patrick Casey, Ph.D.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Tomas J. Heyman</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Tomas J. Heyman</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Gareth Kung</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Gareth Kung</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 Mao, M.D.</w:t>
            </w:r>
          </w:p>
        </w:tc>
        <w:tc>
          <w:tcPr>
            <w:tcW w:w="1520" w:type="dxa"/>
            <w:vAlign w:val="bottom"/>
            <w:tcBorders>
              <w:bottom w:val="single" w:sz="8" w:color="auto"/>
            </w:tcBorders>
          </w:tcPr>
          <w:p>
            <w:pPr>
              <w:spacing w:after="0"/>
              <w:rPr>
                <w:sz w:val="24"/>
                <w:szCs w:val="24"/>
                <w:color w:val="auto"/>
              </w:rPr>
            </w:pP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Li Mao, M.D.</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657"/>
        </w:trPr>
        <w:tc>
          <w:tcPr>
            <w:tcW w:w="4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THE REGISTRANT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Legend Biotech Corporation, has signed this Registration Statement on Form F-6 in Somerset, New Jersey on June 17, 2026.</w:t>
      </w:r>
    </w:p>
    <w:p>
      <w:pPr>
        <w:spacing w:after="0" w:line="15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Authorized U.S. Representative</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YING HUANG, PH.D.</w:t>
      </w: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 /s/ Ying Huang,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Name:  Ying Huang, Ph.D</w:t>
      </w:r>
    </w:p>
    <w:p>
      <w:pPr>
        <w:spacing w:after="0" w:line="23" w:lineRule="exact"/>
        <w:rPr>
          <w:sz w:val="20"/>
          <w:szCs w:val="20"/>
          <w:color w:val="auto"/>
        </w:rPr>
      </w:pPr>
    </w:p>
    <w:p>
      <w:pPr>
        <w:ind w:left="6360"/>
        <w:spacing w:after="0"/>
        <w:tabs>
          <w:tab w:leader="none" w:pos="68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431"/>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ind w:left="312"/>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ind w:left="272"/>
        <w:spacing w:after="0"/>
        <w:rPr>
          <w:sz w:val="20"/>
          <w:szCs w:val="20"/>
          <w:color w:val="auto"/>
        </w:rPr>
      </w:pPr>
      <w:r>
        <w:rPr>
          <w:rFonts w:ascii="Times New Roman" w:cs="Times New Roman" w:eastAsia="Times New Roman" w:hAnsi="Times New Roman"/>
          <w:sz w:val="18"/>
          <w:szCs w:val="18"/>
          <w:u w:val="single" w:color="auto"/>
          <w:color w:val="auto"/>
        </w:rPr>
        <w:t>Number</w:t>
      </w:r>
    </w:p>
    <w:p>
      <w:pPr>
        <w:spacing w:after="0" w:line="207" w:lineRule="exact"/>
        <w:rPr>
          <w:sz w:val="20"/>
          <w:szCs w:val="20"/>
          <w:color w:val="auto"/>
        </w:rPr>
      </w:pPr>
    </w:p>
    <w:p>
      <w:pPr>
        <w:ind w:left="1132" w:hanging="1132"/>
        <w:spacing w:after="0" w:line="266" w:lineRule="auto"/>
        <w:tabs>
          <w:tab w:leader="none" w:pos="1132" w:val="left"/>
        </w:tabs>
        <w:numPr>
          <w:ilvl w:val="0"/>
          <w:numId w:val="9"/>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Deposit Agreement, dated as of June 5, 2020, among Legend Biotech Corporation, JPMorgan Chase Bank, N.A., as depositary (the “Depositary”), and all holders and beneficial owners from time to time of American Depositary Receipts (“ADRs”) issued thereunder, including the form of ADR attached as Exhibit A thereto.</w:t>
      </w:r>
    </w:p>
    <w:p>
      <w:pPr>
        <w:spacing w:after="0" w:line="176" w:lineRule="exact"/>
        <w:rPr>
          <w:sz w:val="20"/>
          <w:szCs w:val="20"/>
          <w:color w:val="auto"/>
        </w:rPr>
      </w:pPr>
    </w:p>
    <w:p>
      <w:pPr>
        <w:ind w:left="1132" w:hanging="1132"/>
        <w:spacing w:after="0"/>
        <w:tabs>
          <w:tab w:leader="none" w:pos="1132"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Opinion of Norton Rose Fulbright US LLP, counsel to the Depositary, as to the legality of the securities being registered.</w:t>
      </w:r>
    </w:p>
    <w:p>
      <w:pPr>
        <w:spacing w:after="0" w:line="225" w:lineRule="exact"/>
        <w:rPr>
          <w:rFonts w:ascii="Times New Roman" w:cs="Times New Roman" w:eastAsia="Times New Roman" w:hAnsi="Times New Roman"/>
          <w:sz w:val="18"/>
          <w:szCs w:val="18"/>
          <w:u w:val="single" w:color="auto"/>
          <w:color w:val="0000EE"/>
        </w:rPr>
      </w:pPr>
    </w:p>
    <w:p>
      <w:pPr>
        <w:ind w:left="1132" w:hanging="1132"/>
        <w:spacing w:after="0"/>
        <w:tabs>
          <w:tab w:leader="none" w:pos="1132" w:val="left"/>
        </w:tabs>
        <w:numPr>
          <w:ilvl w:val="0"/>
          <w:numId w:val="1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t>Rule 466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445770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92"/>
          </w:cols>
          <w:pgMar w:left="328" w:top="900" w:right="779" w:bottom="1440" w:gutter="0" w:footer="0" w:header="0"/>
        </w:sectPr>
      </w:pPr>
    </w:p>
    <w:bookmarkStart w:id="9" w:name="page10"/>
    <w:bookmarkEnd w:id="9"/>
    <w:p>
      <w:pPr>
        <w:ind w:left="9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7"/>
          <w:szCs w:val="17"/>
          <w:b w:val="1"/>
          <w:bCs w:val="1"/>
          <w:color w:val="auto"/>
        </w:rPr>
        <w:t>EXECUTED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4313555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-671195</wp:posOffset>
            </wp:positionH>
            <wp:positionV relativeFrom="paragraph">
              <wp:posOffset>164465</wp:posOffset>
            </wp:positionV>
            <wp:extent cx="7098030" cy="3720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372046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806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2"/>
        </w:trPr>
        <w:tc>
          <w:tcPr>
            <w:tcW w:w="11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80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RECITALS</w:t>
            </w:r>
          </w:p>
        </w:tc>
        <w:tc>
          <w:tcPr>
            <w:tcW w:w="8060" w:type="dxa"/>
            <w:vAlign w:val="bottom"/>
          </w:tcPr>
          <w:p>
            <w:pPr>
              <w:spacing w:after="0"/>
              <w:rPr>
                <w:sz w:val="18"/>
                <w:szCs w:val="18"/>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Definitions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ADR Register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ADRs; Direct Registration ADRs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ADS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Beneficial Owner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Custodian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Deliver, execute, issue et al.</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Delivery Order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(h)</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Deposited Securities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Direct Registration System</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Holder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Securities Act of 1933</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Securities Exchange Act of 1934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Shares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Transfer Office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Withdrawal Order</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Form of ADRs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 of Shares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 of ADRs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Distributions on Deposited Securities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 of Deposited Securities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Substitution of ADRs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 and Destruction of ADRs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Custodian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Lists of Holders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Depositary’s Agents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Resignation and Removal of the Depositary; Appointment of Successor Depositary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Reports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Shares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Indemnification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Notices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Third Party Beneficiaries; Holders and Beneficial Owners as Parties; Binding Effect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Severability</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Governing Law; Consent to Jurisdiction</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Agent for Service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Immunities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Waiver of Jury Trial</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TESTIMONIUM</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SIGNATURES</w:t>
            </w:r>
          </w:p>
        </w:tc>
        <w:tc>
          <w:tcPr>
            <w:tcW w:w="8060" w:type="dxa"/>
            <w:vAlign w:val="bottom"/>
          </w:tcPr>
          <w:p>
            <w:pPr>
              <w:spacing w:after="0"/>
              <w:rPr>
                <w:sz w:val="20"/>
                <w:szCs w:val="20"/>
                <w:color w:val="auto"/>
              </w:rPr>
            </w:pP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77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A</w:t>
            </w:r>
          </w:p>
        </w:tc>
        <w:tc>
          <w:tcPr>
            <w:tcW w:w="2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76"/>
        </w:trPr>
        <w:tc>
          <w:tcPr>
            <w:tcW w:w="8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FORM OF FACE OF ADR</w:t>
            </w:r>
          </w:p>
        </w:tc>
        <w:tc>
          <w:tcPr>
            <w:tcW w:w="2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8880" w:type="dxa"/>
            <w:vAlign w:val="bottom"/>
            <w:gridSpan w:val="2"/>
            <w:vMerge w:val="continue"/>
          </w:tcPr>
          <w:p>
            <w:pPr>
              <w:spacing w:after="0"/>
              <w:rPr>
                <w:sz w:val="18"/>
                <w:szCs w:val="18"/>
                <w:color w:val="auto"/>
              </w:rPr>
            </w:pPr>
          </w:p>
        </w:tc>
        <w:tc>
          <w:tcPr>
            <w:tcW w:w="2020" w:type="dxa"/>
            <w:vAlign w:val="bottom"/>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Introductory Paragraph</w:t>
            </w:r>
          </w:p>
        </w:tc>
        <w:tc>
          <w:tcPr>
            <w:tcW w:w="2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ADSs</w:t>
            </w:r>
          </w:p>
        </w:tc>
        <w:tc>
          <w:tcPr>
            <w:tcW w:w="2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Withdrawal of Deposited Securities</w:t>
            </w:r>
          </w:p>
        </w:tc>
        <w:tc>
          <w:tcPr>
            <w:tcW w:w="2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(3)</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Transfers, Split-Ups and Combinations of ADRs</w:t>
            </w:r>
          </w:p>
        </w:tc>
        <w:tc>
          <w:tcPr>
            <w:tcW w:w="2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Limitations to Registration, Transfer etc.</w:t>
            </w:r>
          </w:p>
        </w:tc>
        <w:tc>
          <w:tcPr>
            <w:tcW w:w="2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A-4</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(5)</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Liability of Holder or Beneficial Owner for Taxes, Duties and Other Charges</w:t>
            </w:r>
          </w:p>
        </w:tc>
        <w:tc>
          <w:tcPr>
            <w:tcW w:w="2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(6)</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Disclosure of Interests</w:t>
            </w:r>
          </w:p>
        </w:tc>
        <w:tc>
          <w:tcPr>
            <w:tcW w:w="2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(7)</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Charges of Depositary</w:t>
            </w:r>
          </w:p>
        </w:tc>
        <w:tc>
          <w:tcPr>
            <w:tcW w:w="20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A-7</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(8)</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 Information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(9)</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6"/>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Signature of Depositary</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12"/>
        </w:trPr>
        <w:tc>
          <w:tcPr>
            <w:tcW w:w="88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Address of Depositary’s Office</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A-11</w:t>
            </w:r>
          </w:p>
        </w:tc>
        <w:tc>
          <w:tcPr>
            <w:tcW w:w="0" w:type="dxa"/>
            <w:vAlign w:val="bottom"/>
          </w:tcPr>
          <w:p>
            <w:pPr>
              <w:spacing w:after="0"/>
              <w:rPr>
                <w:sz w:val="1"/>
                <w:szCs w:val="1"/>
                <w:color w:val="auto"/>
              </w:rPr>
            </w:pPr>
          </w:p>
        </w:tc>
      </w:tr>
      <w:tr>
        <w:trPr>
          <w:trHeight w:val="220"/>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FORM OF REVERSE OF ADR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(10)</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Distributions on Deposited Securities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A-12</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(11)</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 Dates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A-13</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(12)</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 of Deposited Securities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A-14</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(13)</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Affecting Deposited Securities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A-16</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(14)</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Exoneration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A-17</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(15)</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and Removal of Depositary; the Custodian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(16)</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A-20</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(17)</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A-21</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(18)</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Acknowledgements and Agreements</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16"/>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(19)</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A-23</w:t>
            </w:r>
          </w:p>
        </w:tc>
        <w:tc>
          <w:tcPr>
            <w:tcW w:w="0" w:type="dxa"/>
            <w:vAlign w:val="bottom"/>
          </w:tcPr>
          <w:p>
            <w:pPr>
              <w:spacing w:after="0"/>
              <w:rPr>
                <w:sz w:val="1"/>
                <w:szCs w:val="1"/>
                <w:color w:val="auto"/>
              </w:rPr>
            </w:pPr>
          </w:p>
        </w:tc>
      </w:tr>
      <w:tr>
        <w:trPr>
          <w:trHeight w:val="234"/>
        </w:trPr>
        <w:tc>
          <w:tcPr>
            <w:tcW w:w="1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(20)</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Jurisdiction</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A-24</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12" w:name="page13"/>
    <w:bookmarkEnd w:id="12"/>
    <w:p>
      <w:pPr>
        <w:ind w:right="20" w:firstLine="972"/>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DEPOSIT AGREEMENT, dated as of June 5, 2020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among Legend Biotech Corporation and its successors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JPMORGAN CHASE BANK, N.A., as depositary hereunder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and all Holders (as defined below) and Beneficial Owners (as defined below) from time to time of American Depositary Receipts issued hereunder evidencing American Depositary Shares (“ADSs”) representing deposited Shares (as defined below). The Company hereby appoints the Depositary as depositary for the Deposited Securities (as defined below) and hereby authorizes and directs the Depositary to act in accordance with the terms set forth in this Deposit Agreement. All capitalized terms used herein have the meanings ascribed to them in Section 1 or elsewhere in this Deposit Agreement. The parties hereto agree as follows:</w:t>
      </w:r>
    </w:p>
    <w:p>
      <w:pPr>
        <w:spacing w:after="0" w:line="182" w:lineRule="exact"/>
        <w:rPr>
          <w:sz w:val="20"/>
          <w:szCs w:val="20"/>
          <w:color w:val="auto"/>
        </w:rPr>
      </w:pPr>
    </w:p>
    <w:p>
      <w:pPr>
        <w:ind w:left="840" w:hanging="184"/>
        <w:spacing w:after="0"/>
        <w:tabs>
          <w:tab w:leader="none" w:pos="8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40" w:hanging="384"/>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ADR Register</w:t>
      </w:r>
      <w:r>
        <w:rPr>
          <w:rFonts w:ascii="Times New Roman" w:cs="Times New Roman" w:eastAsia="Times New Roman" w:hAnsi="Times New Roman"/>
          <w:sz w:val="18"/>
          <w:szCs w:val="18"/>
          <w:color w:val="auto"/>
        </w:rPr>
        <w:t>” is defined in paragraph (3) of the form of ADR (</w:t>
      </w:r>
      <w:r>
        <w:rPr>
          <w:rFonts w:ascii="Times New Roman" w:cs="Times New Roman" w:eastAsia="Times New Roman" w:hAnsi="Times New Roman"/>
          <w:sz w:val="18"/>
          <w:szCs w:val="18"/>
          <w:i w:val="1"/>
          <w:iCs w:val="1"/>
          <w:color w:val="auto"/>
        </w:rPr>
        <w:t>Transfers, Split-Ups and Combinations of ADRs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656"/>
        <w:spacing w:after="0" w:line="257" w:lineRule="auto"/>
        <w:tabs>
          <w:tab w:leader="none" w:pos="10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Times New Roman" w:cs="Times New Roman" w:eastAsia="Times New Roman" w:hAnsi="Times New Roman"/>
          <w:sz w:val="18"/>
          <w:szCs w:val="18"/>
          <w:b w:val="1"/>
          <w:bCs w:val="1"/>
          <w:color w:val="auto"/>
        </w:rPr>
        <w:t>form of ADR</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Direct Registration ADR</w:t>
      </w:r>
      <w:r>
        <w:rPr>
          <w:rFonts w:ascii="Times New Roman" w:cs="Times New Roman" w:eastAsia="Times New Roman" w:hAnsi="Times New Roman"/>
          <w:sz w:val="18"/>
          <w:szCs w:val="18"/>
          <w:color w:val="auto"/>
        </w:rPr>
        <w:t>” means an ADR, the ownership of which is recorded on the Direct Registration System. References to “ADRs” shall include certificated ADRs and Direct Registration ADRs, unless the context otherwise requires. The form of ADR is hereby incorporated herein and made a part hereof; the provisions of the form of ADR shall be binding upon the parties hereto.</w:t>
      </w:r>
    </w:p>
    <w:p>
      <w:pPr>
        <w:spacing w:after="0" w:line="182" w:lineRule="exact"/>
        <w:rPr>
          <w:rFonts w:ascii="Times New Roman" w:cs="Times New Roman" w:eastAsia="Times New Roman" w:hAnsi="Times New Roman"/>
          <w:sz w:val="18"/>
          <w:szCs w:val="18"/>
          <w:color w:val="auto"/>
        </w:rPr>
      </w:pPr>
    </w:p>
    <w:p>
      <w:pPr>
        <w:ind w:right="80" w:firstLine="656"/>
        <w:spacing w:after="0" w:line="259" w:lineRule="auto"/>
        <w:tabs>
          <w:tab w:leader="none" w:pos="10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 (13) of the form of ADR (</w:t>
      </w:r>
      <w:r>
        <w:rPr>
          <w:rFonts w:ascii="Times New Roman" w:cs="Times New Roman" w:eastAsia="Times New Roman" w:hAnsi="Times New Roman"/>
          <w:sz w:val="18"/>
          <w:szCs w:val="18"/>
          <w:i w:val="1"/>
          <w:iCs w:val="1"/>
          <w:color w:val="auto"/>
        </w:rPr>
        <w:t>Changes Affecting Deposited Securities</w:t>
      </w:r>
      <w:r>
        <w:rPr>
          <w:rFonts w:ascii="Times New Roman" w:cs="Times New Roman" w:eastAsia="Times New Roman" w:hAnsi="Times New Roman"/>
          <w:sz w:val="18"/>
          <w:szCs w:val="18"/>
          <w:color w:val="auto"/>
        </w:rPr>
        <w:t>), each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evidenced by an ADR represents the right to receive, and to exercise the beneficial ownership interests in, the number of Shares specified in the form of ADR attached hereto as Exhibit A (as amended from time to time) that are on deposit with the Depositary and/or the Custodian and a pro rata share in any other Deposited Securities, subject, in each case, to the terms of this Deposit Agreement and the ADSs. The ADS(s)-to-Share(s) ratio is subject to amendment as provided in the form of ADR (which may give rise to fees contemplated in paragraph (7) thereof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656"/>
        <w:spacing w:after="0" w:line="262" w:lineRule="auto"/>
        <w:tabs>
          <w:tab w:leader="none" w:pos="103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means as to any ADS, any person or entity having a beneficial ownership interest in such ADS. A Beneficial Owner need not be the Holder of the ADR evidencing such ADS. If a Beneficial Owner of ADSs is not a Holder, it must rely on the Holder of the ADR(s) evidencing such ADSs in order to assert any rights or receive any benefits under this Deposit Agreement. The arrangements between a Beneficial Owner of ADSs and the Holder of the corresponding ADRs may affect the Beneficial Owner’s ability to exercise any rights it may have.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13" w:name="page14"/>
    <w:bookmarkEnd w:id="13"/>
    <w:p>
      <w:pPr>
        <w:ind w:left="-40" w:right="360" w:firstLine="656"/>
        <w:spacing w:after="0" w:line="286" w:lineRule="auto"/>
        <w:tabs>
          <w:tab w:leader="none" w:pos="9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the agent or agents of the Depositary (singly or collectively, as the context requires) and any additional or substitute Custodian appointed pursuant to Section 9.</w:t>
      </w:r>
    </w:p>
    <w:p>
      <w:pPr>
        <w:spacing w:after="0" w:line="154" w:lineRule="exact"/>
        <w:rPr>
          <w:rFonts w:ascii="Times New Roman" w:cs="Times New Roman" w:eastAsia="Times New Roman" w:hAnsi="Times New Roman"/>
          <w:sz w:val="18"/>
          <w:szCs w:val="18"/>
          <w:color w:val="auto"/>
        </w:rPr>
      </w:pPr>
    </w:p>
    <w:p>
      <w:pPr>
        <w:jc w:val="both"/>
        <w:ind w:left="-40" w:right="340" w:firstLine="656"/>
        <w:spacing w:after="0" w:line="262" w:lineRule="auto"/>
        <w:tabs>
          <w:tab w:leader="none" w:pos="9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color w:val="auto"/>
        </w:rPr>
        <w:t>deliver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execute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issue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surrender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cancel</w:t>
      </w:r>
      <w:r>
        <w:rPr>
          <w:rFonts w:ascii="Times New Roman" w:cs="Times New Roman" w:eastAsia="Times New Roman" w:hAnsi="Times New Roman"/>
          <w:sz w:val="18"/>
          <w:szCs w:val="18"/>
          <w:color w:val="auto"/>
        </w:rPr>
        <w:t>”, when used with respect to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spacing w:after="0" w:line="176" w:lineRule="exact"/>
        <w:rPr>
          <w:rFonts w:ascii="Times New Roman" w:cs="Times New Roman" w:eastAsia="Times New Roman" w:hAnsi="Times New Roman"/>
          <w:sz w:val="18"/>
          <w:szCs w:val="18"/>
          <w:color w:val="auto"/>
        </w:rPr>
      </w:pPr>
    </w:p>
    <w:p>
      <w:pPr>
        <w:ind w:left="1000" w:hanging="384"/>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Delivery Order</w:t>
      </w:r>
      <w:r>
        <w:rPr>
          <w:rFonts w:ascii="Times New Roman" w:cs="Times New Roman" w:eastAsia="Times New Roman" w:hAnsi="Times New Roman"/>
          <w:sz w:val="18"/>
          <w:szCs w:val="18"/>
          <w:color w:val="auto"/>
        </w:rPr>
        <w:t>” is defined in Section 3.</w:t>
      </w:r>
    </w:p>
    <w:p>
      <w:pPr>
        <w:spacing w:after="0" w:line="225" w:lineRule="exact"/>
        <w:rPr>
          <w:rFonts w:ascii="Times New Roman" w:cs="Times New Roman" w:eastAsia="Times New Roman" w:hAnsi="Times New Roman"/>
          <w:sz w:val="18"/>
          <w:szCs w:val="18"/>
          <w:color w:val="auto"/>
        </w:rPr>
      </w:pPr>
    </w:p>
    <w:p>
      <w:pPr>
        <w:ind w:left="-40" w:right="20" w:firstLine="656"/>
        <w:spacing w:after="0" w:line="259" w:lineRule="auto"/>
        <w:tabs>
          <w:tab w:leader="none" w:pos="99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Deposited Securities</w:t>
      </w:r>
      <w:r>
        <w:rPr>
          <w:rFonts w:ascii="Times New Roman" w:cs="Times New Roman" w:eastAsia="Times New Roman" w:hAnsi="Times New Roman"/>
          <w:sz w:val="18"/>
          <w:szCs w:val="18"/>
          <w:color w:val="auto"/>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 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w:t>
      </w:r>
    </w:p>
    <w:p>
      <w:pPr>
        <w:spacing w:after="0" w:line="179" w:lineRule="exact"/>
        <w:rPr>
          <w:rFonts w:ascii="Times New Roman" w:cs="Times New Roman" w:eastAsia="Times New Roman" w:hAnsi="Times New Roman"/>
          <w:sz w:val="18"/>
          <w:szCs w:val="18"/>
          <w:color w:val="auto"/>
        </w:rPr>
      </w:pPr>
    </w:p>
    <w:p>
      <w:pPr>
        <w:ind w:left="-40" w:firstLine="656"/>
        <w:spacing w:after="0" w:line="259" w:lineRule="auto"/>
        <w:tabs>
          <w:tab w:leader="none" w:pos="9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 Registration System</w:t>
      </w:r>
      <w:r>
        <w:rPr>
          <w:rFonts w:ascii="Times New Roman" w:cs="Times New Roman" w:eastAsia="Times New Roman" w:hAnsi="Times New Roman"/>
          <w:sz w:val="18"/>
          <w:szCs w:val="18"/>
          <w:color w:val="auto"/>
        </w:rPr>
        <w:t>” means the system for the uncertificated registration of ownership of securities established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spacing w:after="0" w:line="179" w:lineRule="exact"/>
        <w:rPr>
          <w:rFonts w:ascii="Times New Roman" w:cs="Times New Roman" w:eastAsia="Times New Roman" w:hAnsi="Times New Roman"/>
          <w:sz w:val="18"/>
          <w:szCs w:val="18"/>
          <w:color w:val="auto"/>
        </w:rPr>
      </w:pPr>
    </w:p>
    <w:p>
      <w:pPr>
        <w:ind w:left="-40" w:firstLine="656"/>
        <w:spacing w:after="0" w:line="268" w:lineRule="auto"/>
        <w:tabs>
          <w:tab w:leader="none" w:pos="9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or persons in whose name an ADR is registered on the ADR Register. For all purposes under the Deposit Agreement and the ADRs, a Holder shall be deemed to have all requisite authority to act on behalf of any and all Beneficial Owners of the ADSs evidenced by the ADR(s) registered in such Holder’s name.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1170" w:right="359" w:bottom="1440" w:gutter="0" w:footer="0" w:header="0"/>
        </w:sectPr>
      </w:pPr>
    </w:p>
    <w:bookmarkStart w:id="14" w:name="page15"/>
    <w:bookmarkEnd w:id="14"/>
    <w:p>
      <w:pPr>
        <w:ind w:left="960" w:hanging="38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 of 1933</w:t>
      </w:r>
      <w:r>
        <w:rPr>
          <w:rFonts w:ascii="Times New Roman" w:cs="Times New Roman" w:eastAsia="Times New Roman" w:hAnsi="Times New Roman"/>
          <w:sz w:val="18"/>
          <w:szCs w:val="18"/>
          <w:color w:val="auto"/>
        </w:rPr>
        <w:t>” means the United States Securities Act of 1933, as from time to time amended.</w:t>
      </w:r>
    </w:p>
    <w:p>
      <w:pPr>
        <w:spacing w:after="0" w:line="225" w:lineRule="exact"/>
        <w:rPr>
          <w:rFonts w:ascii="Times New Roman" w:cs="Times New Roman" w:eastAsia="Times New Roman" w:hAnsi="Times New Roman"/>
          <w:sz w:val="18"/>
          <w:szCs w:val="18"/>
          <w:color w:val="auto"/>
        </w:rPr>
      </w:pPr>
    </w:p>
    <w:p>
      <w:pPr>
        <w:ind w:left="920" w:hanging="34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Exchange Act of 1934</w:t>
      </w:r>
      <w:r>
        <w:rPr>
          <w:rFonts w:ascii="Times New Roman" w:cs="Times New Roman" w:eastAsia="Times New Roman" w:hAnsi="Times New Roman"/>
          <w:sz w:val="18"/>
          <w:szCs w:val="18"/>
          <w:color w:val="auto"/>
        </w:rPr>
        <w:t>” means the United States Securities Exchange Act of 1934, as from time to time amended.</w:t>
      </w:r>
    </w:p>
    <w:p>
      <w:pPr>
        <w:spacing w:after="0" w:line="225" w:lineRule="exact"/>
        <w:rPr>
          <w:rFonts w:ascii="Times New Roman" w:cs="Times New Roman" w:eastAsia="Times New Roman" w:hAnsi="Times New Roman"/>
          <w:sz w:val="18"/>
          <w:szCs w:val="18"/>
          <w:color w:val="auto"/>
        </w:rPr>
      </w:pPr>
    </w:p>
    <w:p>
      <w:pPr>
        <w:ind w:left="-80" w:right="120" w:firstLine="656"/>
        <w:spacing w:after="0" w:line="286" w:lineRule="auto"/>
        <w:tabs>
          <w:tab w:leader="none" w:pos="10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 the ordinary shares of the Company, and shall include the rights to receive Shares specified in paragraph (1) of the form of ADR (</w:t>
      </w:r>
      <w:r>
        <w:rPr>
          <w:rFonts w:ascii="Times New Roman" w:cs="Times New Roman" w:eastAsia="Times New Roman" w:hAnsi="Times New Roman"/>
          <w:sz w:val="18"/>
          <w:szCs w:val="18"/>
          <w:i w:val="1"/>
          <w:iCs w:val="1"/>
          <w:color w:val="auto"/>
        </w:rPr>
        <w:t>Issuance of ADSs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960" w:hanging="38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Office</w:t>
      </w:r>
      <w:r>
        <w:rPr>
          <w:rFonts w:ascii="Times New Roman" w:cs="Times New Roman" w:eastAsia="Times New Roman" w:hAnsi="Times New Roman"/>
          <w:sz w:val="18"/>
          <w:szCs w:val="18"/>
          <w:color w:val="auto"/>
        </w:rPr>
        <w:t>” is defined in paragraph (3) of the form of ADR (</w:t>
      </w:r>
      <w:r>
        <w:rPr>
          <w:rFonts w:ascii="Times New Roman" w:cs="Times New Roman" w:eastAsia="Times New Roman" w:hAnsi="Times New Roman"/>
          <w:sz w:val="18"/>
          <w:szCs w:val="18"/>
          <w:i w:val="1"/>
          <w:iCs w:val="1"/>
          <w:color w:val="auto"/>
        </w:rPr>
        <w:t>Transfers, Split-Ups and Combinations of ADRs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38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is defined in Section 6.</w:t>
      </w:r>
    </w:p>
    <w:p>
      <w:pPr>
        <w:spacing w:after="0" w:line="225" w:lineRule="exact"/>
        <w:rPr>
          <w:sz w:val="20"/>
          <w:szCs w:val="20"/>
          <w:color w:val="auto"/>
        </w:rPr>
      </w:pPr>
    </w:p>
    <w:p>
      <w:pPr>
        <w:ind w:left="760" w:hanging="184"/>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 of ADRs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80" w:right="540" w:firstLine="656"/>
        <w:spacing w:after="0" w:line="284" w:lineRule="auto"/>
        <w:tabs>
          <w:tab w:leader="none" w:pos="9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Registration ADRs</w:t>
      </w:r>
      <w:r>
        <w:rPr>
          <w:rFonts w:ascii="Times New Roman" w:cs="Times New Roman" w:eastAsia="Times New Roman" w:hAnsi="Times New Roman"/>
          <w:sz w:val="18"/>
          <w:szCs w:val="18"/>
          <w:color w:val="auto"/>
        </w:rPr>
        <w:t>. Notwithstanding anything in this Deposit Agreement or in the form of ADR to the contrary, ADSs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evidenced by Direct Registration ADRs, unless certificated ADRs are specifically requested by the Holder.</w:t>
      </w:r>
    </w:p>
    <w:p>
      <w:pPr>
        <w:spacing w:after="0" w:line="158" w:lineRule="exact"/>
        <w:rPr>
          <w:rFonts w:ascii="Times New Roman" w:cs="Times New Roman" w:eastAsia="Times New Roman" w:hAnsi="Times New Roman"/>
          <w:sz w:val="18"/>
          <w:szCs w:val="18"/>
          <w:color w:val="auto"/>
        </w:rPr>
      </w:pPr>
    </w:p>
    <w:p>
      <w:pPr>
        <w:ind w:left="-80" w:firstLine="656"/>
        <w:spacing w:after="0" w:line="255" w:lineRule="auto"/>
        <w:tabs>
          <w:tab w:leader="none" w:pos="9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Certificated ADRs</w:t>
      </w:r>
      <w:r>
        <w:rPr>
          <w:rFonts w:ascii="Times New Roman" w:cs="Times New Roman" w:eastAsia="Times New Roman" w:hAnsi="Times New Roman"/>
          <w:sz w:val="18"/>
          <w:szCs w:val="18"/>
          <w:color w:val="auto"/>
        </w:rPr>
        <w:t>. ADRs in certificated form shall be printed or otherwise reproduced at the discretion of the Depositary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ADRs in certificated form bearing the facsimile signature of anyone who was at the time of execution a duly authorized officer of the Depositary shall bind the Depositary, notwithstanding that such officer has ceased to hold such office prior to the delivery of such ADRs.</w:t>
      </w:r>
    </w:p>
    <w:p>
      <w:pPr>
        <w:spacing w:after="0" w:line="184" w:lineRule="exact"/>
        <w:rPr>
          <w:rFonts w:ascii="Times New Roman" w:cs="Times New Roman" w:eastAsia="Times New Roman" w:hAnsi="Times New Roman"/>
          <w:sz w:val="18"/>
          <w:szCs w:val="18"/>
          <w:color w:val="auto"/>
        </w:rPr>
      </w:pPr>
    </w:p>
    <w:p>
      <w:pPr>
        <w:ind w:left="-80" w:right="200" w:firstLine="656"/>
        <w:spacing w:after="0" w:line="284" w:lineRule="auto"/>
        <w:tabs>
          <w:tab w:leader="none" w:pos="9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Binding Effect. </w:t>
      </w:r>
      <w:r>
        <w:rPr>
          <w:rFonts w:ascii="Times New Roman" w:cs="Times New Roman" w:eastAsia="Times New Roman" w:hAnsi="Times New Roman"/>
          <w:sz w:val="18"/>
          <w:szCs w:val="18"/>
          <w:color w:val="auto"/>
        </w:rPr>
        <w:t>Holders of ADRs, and the Beneficial Owners of the ADSs evidenced by such ADRs, shall each be bound by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this Deposit Agreement and of the form of ADR, regardless of whether such ADRs are Direct Registration ADRs or certificated ADRs.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400" w:top="1170" w:right="399" w:bottom="1440" w:gutter="0" w:footer="0" w:header="0"/>
        </w:sectPr>
      </w:pPr>
    </w:p>
    <w:bookmarkStart w:id="15" w:name="page16"/>
    <w:bookmarkEnd w:id="15"/>
    <w:p>
      <w:pPr>
        <w:ind w:left="800" w:hanging="184"/>
        <w:spacing w:after="0"/>
        <w:tabs>
          <w:tab w:leader="none" w:pos="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Deposit of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0" w:right="460" w:firstLine="656"/>
        <w:spacing w:after="0" w:line="284" w:lineRule="auto"/>
        <w:tabs>
          <w:tab w:leader="none" w:pos="9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Requirements. </w:t>
      </w:r>
      <w:r>
        <w:rPr>
          <w:rFonts w:ascii="Times New Roman" w:cs="Times New Roman" w:eastAsia="Times New Roman" w:hAnsi="Times New Roman"/>
          <w:sz w:val="18"/>
          <w:szCs w:val="18"/>
          <w:color w:val="auto"/>
        </w:rPr>
        <w:t>In connection with the deposit of Shares hereunder, the Depositary or the Custodian may require the following in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satisfactory to it:</w:t>
      </w:r>
    </w:p>
    <w:p>
      <w:pPr>
        <w:spacing w:after="0" w:line="160" w:lineRule="exact"/>
        <w:rPr>
          <w:rFonts w:ascii="Times New Roman" w:cs="Times New Roman" w:eastAsia="Times New Roman" w:hAnsi="Times New Roman"/>
          <w:sz w:val="18"/>
          <w:szCs w:val="18"/>
          <w:color w:val="auto"/>
        </w:rPr>
      </w:pPr>
    </w:p>
    <w:p>
      <w:pPr>
        <w:ind w:left="620" w:right="140" w:firstLine="320"/>
        <w:spacing w:after="0" w:line="282" w:lineRule="auto"/>
        <w:tabs>
          <w:tab w:leader="none" w:pos="129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directing the Depositary to issue to, or upon the written order of, the person or persons designated in such order a Direct Registration ADR or ADRs evidencing the number of ADSs representing such deposited Shares (a “</w:t>
      </w:r>
      <w:r>
        <w:rPr>
          <w:rFonts w:ascii="Times New Roman" w:cs="Times New Roman" w:eastAsia="Times New Roman" w:hAnsi="Times New Roman"/>
          <w:sz w:val="18"/>
          <w:szCs w:val="18"/>
          <w:b w:val="1"/>
          <w:bCs w:val="1"/>
          <w:color w:val="auto"/>
        </w:rPr>
        <w:t>Delivery Order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40" w:hanging="400"/>
        <w:spacing w:after="0"/>
        <w:tabs>
          <w:tab w:leader="none" w:pos="13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 endorsements or duly executed instruments of transfer in respect of such deposited Shares;</w:t>
      </w:r>
    </w:p>
    <w:p>
      <w:pPr>
        <w:spacing w:after="0" w:line="225" w:lineRule="exact"/>
        <w:rPr>
          <w:rFonts w:ascii="Times New Roman" w:cs="Times New Roman" w:eastAsia="Times New Roman" w:hAnsi="Times New Roman"/>
          <w:sz w:val="18"/>
          <w:szCs w:val="18"/>
          <w:color w:val="auto"/>
        </w:rPr>
      </w:pPr>
    </w:p>
    <w:p>
      <w:pPr>
        <w:ind w:left="620" w:right="20" w:firstLine="320"/>
        <w:spacing w:after="0" w:line="282" w:lineRule="auto"/>
        <w:tabs>
          <w:tab w:leader="none" w:pos="143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assigning to the Depositary, the Custodian or a nominee of either any distribution on or in respect of such deposited Shares or indemnity therefor; and</w:t>
      </w:r>
    </w:p>
    <w:p>
      <w:pPr>
        <w:spacing w:after="0" w:line="161" w:lineRule="exact"/>
        <w:rPr>
          <w:rFonts w:ascii="Times New Roman" w:cs="Times New Roman" w:eastAsia="Times New Roman" w:hAnsi="Times New Roman"/>
          <w:sz w:val="18"/>
          <w:szCs w:val="18"/>
          <w:color w:val="auto"/>
        </w:rPr>
      </w:pPr>
    </w:p>
    <w:p>
      <w:pPr>
        <w:ind w:left="1380" w:hanging="440"/>
        <w:spacing w:after="0"/>
        <w:tabs>
          <w:tab w:leader="none" w:pos="13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proxies entitling the Custodian to vote such deposited Shares.</w:t>
      </w:r>
    </w:p>
    <w:p>
      <w:pPr>
        <w:spacing w:after="0" w:line="223" w:lineRule="exact"/>
        <w:rPr>
          <w:rFonts w:ascii="Times New Roman" w:cs="Times New Roman" w:eastAsia="Times New Roman" w:hAnsi="Times New Roman"/>
          <w:sz w:val="18"/>
          <w:szCs w:val="18"/>
          <w:color w:val="auto"/>
        </w:rPr>
      </w:pPr>
    </w:p>
    <w:p>
      <w:pPr>
        <w:ind w:left="-40" w:firstLine="656"/>
        <w:spacing w:after="0" w:line="254" w:lineRule="auto"/>
        <w:tabs>
          <w:tab w:leader="none" w:pos="9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of Deposited Securities. </w:t>
      </w:r>
      <w:r>
        <w:rPr>
          <w:rFonts w:ascii="Times New Roman" w:cs="Times New Roman" w:eastAsia="Times New Roman" w:hAnsi="Times New Roman"/>
          <w:sz w:val="18"/>
          <w:szCs w:val="18"/>
          <w:color w:val="auto"/>
        </w:rPr>
        <w:t>As soon as practicable after the Custodian receives Deposited Securities pursuant to any such deposit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or (13) (</w:t>
      </w:r>
      <w:r>
        <w:rPr>
          <w:rFonts w:ascii="Times New Roman" w:cs="Times New Roman" w:eastAsia="Times New Roman" w:hAnsi="Times New Roman"/>
          <w:sz w:val="18"/>
          <w:szCs w:val="18"/>
          <w:i w:val="1"/>
          <w:iCs w:val="1"/>
          <w:color w:val="auto"/>
        </w:rPr>
        <w:t>Changes Affecting Deposited Securities</w:t>
      </w:r>
      <w:r>
        <w:rPr>
          <w:rFonts w:ascii="Times New Roman" w:cs="Times New Roman" w:eastAsia="Times New Roman" w:hAnsi="Times New Roman"/>
          <w:sz w:val="18"/>
          <w:szCs w:val="18"/>
          <w:color w:val="auto"/>
        </w:rPr>
        <w:t>) of the form of ADR, the Custodian shall present such Deposited Securities for registration of transfer into the name of the Depositary, the Custodian or a nominee of either, in each case for the benefit of Holders, to the extent such registration is practicable, at the cost and expense of the person making such deposit (or for whose benefit such deposit is made) and shall obtain evidence satisfactory to it of such registration. Deposited Securities shall be held by the Custodian for the account and to the order of the Depositary for the benefit of Holders of ADRs (to the extent not prohibited by law) at such place or places and in such manner as the Depositary shall determine. Notwithstanding anything else contained herein,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Holders. The Depositary, on its own behalf and on behalf of the Custodian and their respective nominees, disclaims any beneficial ownership interest in the Deposited Securities held on behalf of the 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1170" w:right="359" w:bottom="1440" w:gutter="0" w:footer="0" w:header="0"/>
        </w:sectPr>
      </w:pPr>
    </w:p>
    <w:bookmarkStart w:id="16" w:name="page17"/>
    <w:bookmarkEnd w:id="16"/>
    <w:p>
      <w:pPr>
        <w:ind w:left="-8" w:right="180" w:firstLine="656"/>
        <w:spacing w:after="0" w:line="257" w:lineRule="auto"/>
        <w:tabs>
          <w:tab w:leader="none" w:pos="101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 xml:space="preserve">Delivery of Deposited Securities. </w:t>
      </w:r>
      <w:r>
        <w:rPr>
          <w:rFonts w:ascii="Times New Roman" w:cs="Times New Roman" w:eastAsia="Times New Roman" w:hAnsi="Times New Roman"/>
          <w:sz w:val="18"/>
          <w:szCs w:val="18"/>
          <w:color w:val="auto"/>
        </w:rPr>
        <w:t>Deposited Securities may be delivered by the Custodian to any person only under the circumstances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 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spacing w:after="0" w:line="180" w:lineRule="exact"/>
        <w:rPr>
          <w:sz w:val="20"/>
          <w:szCs w:val="20"/>
          <w:color w:val="auto"/>
        </w:rPr>
      </w:pPr>
    </w:p>
    <w:p>
      <w:pPr>
        <w:ind w:left="-8" w:right="100" w:firstLine="656"/>
        <w:spacing w:after="0" w:line="259" w:lineRule="auto"/>
        <w:tabs>
          <w:tab w:leader="none" w:pos="8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Issue of ADRs</w:t>
      </w:r>
      <w:r>
        <w:rPr>
          <w:rFonts w:ascii="Times New Roman" w:cs="Times New Roman" w:eastAsia="Times New Roman" w:hAnsi="Times New Roman"/>
          <w:sz w:val="18"/>
          <w:szCs w:val="18"/>
          <w:color w:val="auto"/>
        </w:rPr>
        <w:t>. After any such deposit of Shares, the Custodian shall notify the Depositary of such deposit and of the information contained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related Delivery Order by letter, first class airmail postage prepaid, or, at the request, risk and expense of the person making the deposit, by SWIFT, cable, telex or facsimile transmission. 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spacing w:after="0" w:line="179" w:lineRule="exact"/>
        <w:rPr>
          <w:rFonts w:ascii="Times New Roman" w:cs="Times New Roman" w:eastAsia="Times New Roman" w:hAnsi="Times New Roman"/>
          <w:sz w:val="18"/>
          <w:szCs w:val="18"/>
          <w:color w:val="auto"/>
        </w:rPr>
      </w:pPr>
    </w:p>
    <w:p>
      <w:pPr>
        <w:ind w:left="832" w:hanging="184"/>
        <w:spacing w:after="0"/>
        <w:tabs>
          <w:tab w:leader="none" w:pos="832"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Distributions on Deposited Securities</w:t>
      </w:r>
      <w:r>
        <w:rPr>
          <w:rFonts w:ascii="Times New Roman" w:cs="Times New Roman" w:eastAsia="Times New Roman" w:hAnsi="Times New Roman"/>
          <w:sz w:val="17"/>
          <w:szCs w:val="17"/>
          <w:color w:val="auto"/>
        </w:rPr>
        <w:t>. To the extent that the Depositary determines in its discretion that any distribution pursuant to paragraph</w:t>
      </w:r>
    </w:p>
    <w:p>
      <w:pPr>
        <w:spacing w:after="0" w:line="42" w:lineRule="exact"/>
        <w:rPr>
          <w:rFonts w:ascii="Times New Roman" w:cs="Times New Roman" w:eastAsia="Times New Roman" w:hAnsi="Times New Roman"/>
          <w:sz w:val="17"/>
          <w:szCs w:val="17"/>
          <w:color w:val="auto"/>
        </w:rPr>
      </w:pPr>
    </w:p>
    <w:p>
      <w:pPr>
        <w:ind w:left="-8" w:right="160" w:firstLine="8"/>
        <w:spacing w:after="0" w:line="253" w:lineRule="auto"/>
        <w:tabs>
          <w:tab w:leader="none" w:pos="3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form of ADR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is not practicable with respect to any Holder, the Depositary may make such distribution as it so deems practicable, including the distribution of foreign currency, securities or property (or appropriate documents evidencing the right to receive foreign currency, securities or property) or the retention thereof as Deposited Securities with respect to such Holder’s ADRs (without liability for interest thereon or the investment thereof).</w:t>
      </w:r>
    </w:p>
    <w:p>
      <w:pPr>
        <w:spacing w:after="0" w:line="184" w:lineRule="exact"/>
        <w:rPr>
          <w:rFonts w:ascii="Times New Roman" w:cs="Times New Roman" w:eastAsia="Times New Roman" w:hAnsi="Times New Roman"/>
          <w:sz w:val="18"/>
          <w:szCs w:val="18"/>
          <w:color w:val="auto"/>
        </w:rPr>
      </w:pPr>
    </w:p>
    <w:p>
      <w:pPr>
        <w:ind w:left="-8" w:right="60" w:firstLine="656"/>
        <w:spacing w:after="0" w:line="254" w:lineRule="auto"/>
        <w:tabs>
          <w:tab w:leader="none" w:pos="8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of Deposited Securities. </w:t>
      </w:r>
      <w:r>
        <w:rPr>
          <w:rFonts w:ascii="Times New Roman" w:cs="Times New Roman" w:eastAsia="Times New Roman" w:hAnsi="Times New Roman"/>
          <w:sz w:val="18"/>
          <w:szCs w:val="18"/>
          <w:color w:val="auto"/>
        </w:rPr>
        <w:t>In connection with any surrender of an ADR for withdrawal of the Deposited Securities represented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ADSs evidenced thereby, the Depositary may require proper endorsement in blank of such ADR (or duly executed instruments of transfer thereof in blank) and the Holder’s written order directing the Depositary to cause the Deposited Securities represented by the ADSs evidenced by such ADR to be withdrawn and delivered to, or upon the written order of, any person designated in such order (a “</w:t>
      </w:r>
      <w:r>
        <w:rPr>
          <w:rFonts w:ascii="Times New Roman" w:cs="Times New Roman" w:eastAsia="Times New Roman" w:hAnsi="Times New Roman"/>
          <w:sz w:val="18"/>
          <w:szCs w:val="18"/>
          <w:b w:val="1"/>
          <w:bCs w:val="1"/>
          <w:color w:val="auto"/>
        </w:rPr>
        <w:t>Withdrawal Order</w:t>
      </w:r>
      <w:r>
        <w:rPr>
          <w:rFonts w:ascii="Times New Roman" w:cs="Times New Roman" w:eastAsia="Times New Roman" w:hAnsi="Times New Roman"/>
          <w:sz w:val="18"/>
          <w:szCs w:val="18"/>
          <w:color w:val="auto"/>
        </w:rPr>
        <w:t>”). Directions from the Depositary to the Custodian to deliver Deposited Securities shall be given by letter, first class airmail postage prepaid, or, at the request, risk and expense of the Holder, by SWIFT, cable, telex or facsimile transmission. Delivery of Deposited Securities may be made by the delivery of certificates (which, if required by law shall be properly endorsed or accompanied by properly executed instruments of transfer or, if such certificates may be registered, registered in the name of such Holder or as ordered by such Holder in any Withdrawal Order) or by such other means as the Depositary may deem practicable, including, without limitation, by transfer of record ownership thereof to an account designated in the Withdrawal Order maintained either by the Company or an accredited intermediary, such as a bank, stock administration agent or depositary or clearing corporation acting as a registrar for the Deposited Securities.</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1172" w:right="359" w:bottom="1440" w:gutter="0" w:footer="0" w:header="0"/>
        </w:sectPr>
      </w:pPr>
    </w:p>
    <w:bookmarkStart w:id="17" w:name="page18"/>
    <w:bookmarkEnd w:id="17"/>
    <w:p>
      <w:pPr>
        <w:ind w:left="-20" w:right="40" w:firstLine="656"/>
        <w:spacing w:after="0" w:line="262" w:lineRule="auto"/>
        <w:tabs>
          <w:tab w:leader="none" w:pos="8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Substitution of ADRs</w:t>
      </w:r>
      <w:r>
        <w:rPr>
          <w:rFonts w:ascii="Times New Roman" w:cs="Times New Roman" w:eastAsia="Times New Roman" w:hAnsi="Times New Roman"/>
          <w:sz w:val="18"/>
          <w:szCs w:val="18"/>
          <w:color w:val="auto"/>
        </w:rPr>
        <w:t>. The Depositary shall execute and deliver a new Direct Registration ADR in exchange and substitution for any mutilated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spacing w:after="0" w:line="176" w:lineRule="exact"/>
        <w:rPr>
          <w:rFonts w:ascii="Times New Roman" w:cs="Times New Roman" w:eastAsia="Times New Roman" w:hAnsi="Times New Roman"/>
          <w:sz w:val="18"/>
          <w:szCs w:val="18"/>
          <w:color w:val="auto"/>
        </w:rPr>
      </w:pPr>
    </w:p>
    <w:p>
      <w:pPr>
        <w:ind w:left="-20" w:right="480" w:firstLine="656"/>
        <w:spacing w:after="0" w:line="286" w:lineRule="auto"/>
        <w:tabs>
          <w:tab w:leader="none" w:pos="8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Cancellation and Destruction of ADRs. </w:t>
      </w:r>
      <w:r>
        <w:rPr>
          <w:rFonts w:ascii="Times New Roman" w:cs="Times New Roman" w:eastAsia="Times New Roman" w:hAnsi="Times New Roman"/>
          <w:sz w:val="18"/>
          <w:szCs w:val="18"/>
          <w:color w:val="auto"/>
        </w:rPr>
        <w:t>All ADRs surrendered to the Depositary shall be cancelled by the Depositary. The Depositary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to destroy ADRs in certificated form so cancelled in accordance with its customary practices.</w:t>
      </w:r>
    </w:p>
    <w:p>
      <w:pPr>
        <w:spacing w:after="0" w:line="154"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Custodian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right="60" w:firstLine="656"/>
        <w:spacing w:after="0" w:line="267" w:lineRule="auto"/>
        <w:tabs>
          <w:tab w:leader="none" w:pos="100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the Depositary</w:t>
      </w:r>
      <w:r>
        <w:rPr>
          <w:rFonts w:ascii="Times New Roman" w:cs="Times New Roman" w:eastAsia="Times New Roman" w:hAnsi="Times New Roman"/>
          <w:sz w:val="18"/>
          <w:szCs w:val="18"/>
          <w:color w:val="auto"/>
        </w:rPr>
        <w:t>. Any Custodian in acting hereunder shall be subject to the directions of the Depositary and shall be responsible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solely to it. The Depositary reserves the right to add, replace or remove a Custodian. The Depositary will give prompt notice of any such action, which will be advance notice if practicable. The Depositary may discharge any Custodian at any time upon notice to the Custodian being discharged.</w:t>
      </w:r>
    </w:p>
    <w:p>
      <w:pPr>
        <w:spacing w:after="0" w:line="173" w:lineRule="exact"/>
        <w:rPr>
          <w:rFonts w:ascii="Times New Roman" w:cs="Times New Roman" w:eastAsia="Times New Roman" w:hAnsi="Times New Roman"/>
          <w:sz w:val="18"/>
          <w:szCs w:val="18"/>
          <w:color w:val="auto"/>
        </w:rPr>
      </w:pPr>
    </w:p>
    <w:p>
      <w:pPr>
        <w:ind w:left="-20" w:right="220" w:firstLine="656"/>
        <w:spacing w:after="0" w:line="261" w:lineRule="auto"/>
        <w:tabs>
          <w:tab w:leader="none" w:pos="10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Rights of the Custodian. </w:t>
      </w:r>
      <w:r>
        <w:rPr>
          <w:rFonts w:ascii="Times New Roman" w:cs="Times New Roman" w:eastAsia="Times New Roman" w:hAnsi="Times New Roman"/>
          <w:sz w:val="18"/>
          <w:szCs w:val="18"/>
          <w:color w:val="auto"/>
        </w:rPr>
        <w:t>Any Custodian may resign from its duties hereunder by providing at least 30 days’ prior written notice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Promptly after the receipt of such written notice, the Depositary shall endeavor to appoint a substitute custodian or custodians, each of which shall be a Custodian hereunder upon the effectiveness of such resignation. Any Custodian ceasing to act hereunder as Custodian shall deliver, upon the instruction of the Depositary, all Deposited Securities held by it to a Custodian continuing to act.</w:t>
      </w:r>
    </w:p>
    <w:p>
      <w:pPr>
        <w:spacing w:after="0" w:line="181" w:lineRule="exact"/>
        <w:rPr>
          <w:rFonts w:ascii="Times New Roman" w:cs="Times New Roman" w:eastAsia="Times New Roman" w:hAnsi="Times New Roman"/>
          <w:sz w:val="18"/>
          <w:szCs w:val="18"/>
          <w:color w:val="auto"/>
        </w:rPr>
      </w:pPr>
    </w:p>
    <w:p>
      <w:pPr>
        <w:ind w:left="-20" w:firstLine="656"/>
        <w:spacing w:after="0" w:line="256" w:lineRule="auto"/>
        <w:tabs>
          <w:tab w:leader="none" w:pos="10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Deposit Agreement (including the ADRs) and, subject to the further limitations set forth in clause (o) of paragraph (14) of the form of ADR (</w:t>
      </w:r>
      <w:r>
        <w:rPr>
          <w:rFonts w:ascii="Times New Roman" w:cs="Times New Roman" w:eastAsia="Times New Roman" w:hAnsi="Times New Roman"/>
          <w:sz w:val="18"/>
          <w:szCs w:val="18"/>
          <w:i w:val="1"/>
          <w:iCs w:val="1"/>
          <w:color w:val="auto"/>
        </w:rPr>
        <w:t>Exoneration</w:t>
      </w:r>
      <w:r>
        <w:rPr>
          <w:rFonts w:ascii="Times New Roman" w:cs="Times New Roman" w:eastAsia="Times New Roman" w:hAnsi="Times New Roman"/>
          <w:sz w:val="18"/>
          <w:szCs w:val="18"/>
          <w:color w:val="auto"/>
        </w:rPr>
        <w:t>),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1170" w:right="339" w:bottom="1440" w:gutter="0" w:footer="0" w:header="0"/>
        </w:sectPr>
      </w:pPr>
    </w:p>
    <w:bookmarkStart w:id="18" w:name="page19"/>
    <w:bookmarkEnd w:id="18"/>
    <w:p>
      <w:pPr>
        <w:ind w:right="120" w:firstLine="656"/>
        <w:spacing w:after="0" w:line="262" w:lineRule="auto"/>
        <w:tabs>
          <w:tab w:leader="none" w:pos="91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Lists of Holders</w:t>
      </w:r>
      <w:r>
        <w:rPr>
          <w:rFonts w:ascii="Times New Roman" w:cs="Times New Roman" w:eastAsia="Times New Roman" w:hAnsi="Times New Roman"/>
          <w:sz w:val="18"/>
          <w:szCs w:val="18"/>
          <w:color w:val="auto"/>
        </w:rPr>
        <w:t>. The Company shall have the right to inspect transfer records of the Depositary and its agents and the ADR Register, take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copies thereof and require the Depositary and its agents to supply copies of such portions of such records as the Company may request. The Depositary or its agents shall furnish to the Company promptly upon the written request of the Company, a list of the names, addresses and holdings of ADSs by all Holders as of a date within seven days of the Depositary’s receipt of such request.</w:t>
      </w:r>
    </w:p>
    <w:p>
      <w:pPr>
        <w:spacing w:after="0" w:line="176" w:lineRule="exact"/>
        <w:rPr>
          <w:rFonts w:ascii="Times New Roman" w:cs="Times New Roman" w:eastAsia="Times New Roman" w:hAnsi="Times New Roman"/>
          <w:sz w:val="18"/>
          <w:szCs w:val="18"/>
          <w:color w:val="auto"/>
        </w:rPr>
      </w:pPr>
    </w:p>
    <w:p>
      <w:pPr>
        <w:jc w:val="both"/>
        <w:ind w:right="60" w:firstLine="656"/>
        <w:spacing w:after="0" w:line="268" w:lineRule="auto"/>
        <w:tabs>
          <w:tab w:leader="none" w:pos="91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Depositary’s Agents</w:t>
      </w:r>
      <w:r>
        <w:rPr>
          <w:rFonts w:ascii="Times New Roman" w:cs="Times New Roman" w:eastAsia="Times New Roman" w:hAnsi="Times New Roman"/>
          <w:sz w:val="18"/>
          <w:szCs w:val="18"/>
          <w:color w:val="auto"/>
        </w:rPr>
        <w:t>. The Depositary may perform its obligations under this Deposit Agreement through any agent appointed by it,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Depositary shall notify the Company of such appointment and shall remain responsible for the performance of such obligations as if no agent were appointed, subject to paragraph (14) of the form of ADR (</w:t>
      </w:r>
      <w:r>
        <w:rPr>
          <w:rFonts w:ascii="Times New Roman" w:cs="Times New Roman" w:eastAsia="Times New Roman" w:hAnsi="Times New Roman"/>
          <w:sz w:val="18"/>
          <w:szCs w:val="18"/>
          <w:i w:val="1"/>
          <w:iCs w:val="1"/>
          <w:color w:val="auto"/>
        </w:rPr>
        <w:t>Exoneration</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 and Removal of the Depositary; Appointment of Successor Depositary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40" w:firstLine="656"/>
        <w:spacing w:after="0" w:line="267" w:lineRule="auto"/>
        <w:tabs>
          <w:tab w:leader="none" w:pos="102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 of the Depositary</w:t>
      </w:r>
      <w:r>
        <w:rPr>
          <w:rFonts w:ascii="Times New Roman" w:cs="Times New Roman" w:eastAsia="Times New Roman" w:hAnsi="Times New Roman"/>
          <w:sz w:val="18"/>
          <w:szCs w:val="18"/>
          <w:color w:val="auto"/>
        </w:rPr>
        <w:t>. The Depositary may at any time resign as Depositary hereunder by written notice of its election to do 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to the Company, such resignation to take effect upon the appointment of a successor depositary and its acceptance of such appointment as hereinafter provided.</w:t>
      </w:r>
    </w:p>
    <w:p>
      <w:pPr>
        <w:spacing w:after="0" w:line="173"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 of the Depositary</w:t>
      </w:r>
      <w:r>
        <w:rPr>
          <w:rFonts w:ascii="Times New Roman" w:cs="Times New Roman" w:eastAsia="Times New Roman" w:hAnsi="Times New Roman"/>
          <w:sz w:val="18"/>
          <w:szCs w:val="18"/>
          <w:color w:val="auto"/>
        </w:rPr>
        <w:t>. The Depositary may at any time be removed by the Company by providing no less than 60 days’ prior written</w:t>
      </w:r>
    </w:p>
    <w:p>
      <w:pPr>
        <w:spacing w:after="0" w:line="2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8"/>
          <w:szCs w:val="18"/>
          <w:color w:val="auto"/>
        </w:rPr>
        <w:t>notice of such removal to the Depositary, such removal to take effect on the later of (i)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such notice of removal is first provided and (ii) the appointment of a successor depositary and its acceptance of such appointment as hereinafter provided. Notwithstanding the foregoing, if upon the resignation or removal of the Depositary a successor depositary is not appointed within the applicable 60-day period as specified in paragraph (17) of the form of ADR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then the Depositary may elect to terminate this Deposit Agreement and the ADR and the provisions of said paragraph (17) shall thereafter govern the Depositary’s obligations hereunder.</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19" w:name="page20"/>
    <w:bookmarkEnd w:id="19"/>
    <w:p>
      <w:pPr>
        <w:ind w:left="-8" w:right="20" w:firstLine="656"/>
        <w:spacing w:after="0" w:line="255" w:lineRule="auto"/>
        <w:tabs>
          <w:tab w:leader="none" w:pos="101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Appointment of Successor Depositary</w:t>
      </w:r>
      <w:r>
        <w:rPr>
          <w:rFonts w:ascii="Times New Roman" w:cs="Times New Roman" w:eastAsia="Times New Roman" w:hAnsi="Times New Roman"/>
          <w:sz w:val="18"/>
          <w:szCs w:val="18"/>
          <w:color w:val="auto"/>
        </w:rPr>
        <w:t>. In case at any time the Depositary acting hereunder shall resign or be removed, the Company shall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best efforts to appoint a successor depositary, which shall be a bank or trust company 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w:t>
      </w:r>
    </w:p>
    <w:p>
      <w:pPr>
        <w:ind w:left="-8" w:right="140" w:firstLine="8"/>
        <w:spacing w:after="0" w:line="252" w:lineRule="auto"/>
        <w:tabs>
          <w:tab w:leader="none" w:pos="20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an instrument transferring to such successor all rights and powers of such predecessor hereunder (other than its rights to indemnification and fees owing, each of which shall survive any such removal and/or resignation), (ii) duly assign, transfer and deliver all right, title and interest to the Deposited Securities to such successor, and (iii) 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spacing w:after="0" w:line="186" w:lineRule="exact"/>
        <w:rPr>
          <w:sz w:val="20"/>
          <w:szCs w:val="20"/>
          <w:color w:val="auto"/>
        </w:rPr>
      </w:pPr>
    </w:p>
    <w:p>
      <w:pPr>
        <w:ind w:left="-8" w:firstLine="656"/>
        <w:spacing w:after="0" w:line="256" w:lineRule="auto"/>
        <w:tabs>
          <w:tab w:leader="none" w:pos="9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Reports. </w:t>
      </w:r>
      <w:r>
        <w:rPr>
          <w:rFonts w:ascii="Times New Roman" w:cs="Times New Roman" w:eastAsia="Times New Roman" w:hAnsi="Times New Roman"/>
          <w:sz w:val="18"/>
          <w:szCs w:val="18"/>
          <w:color w:val="auto"/>
        </w:rPr>
        <w:t>On or before the first date on which the Company makes any communication available to holders of Deposited Securities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spacing w:after="0" w:line="182" w:lineRule="exact"/>
        <w:rPr>
          <w:rFonts w:ascii="Times New Roman" w:cs="Times New Roman" w:eastAsia="Times New Roman" w:hAnsi="Times New Roman"/>
          <w:sz w:val="18"/>
          <w:szCs w:val="18"/>
          <w:color w:val="auto"/>
        </w:rPr>
      </w:pPr>
    </w:p>
    <w:p>
      <w:pPr>
        <w:ind w:left="-8" w:right="20" w:firstLine="656"/>
        <w:spacing w:after="0" w:line="254" w:lineRule="auto"/>
        <w:tabs>
          <w:tab w:leader="none" w:pos="91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The Company agrees with the Depositary that neither the Company nor any company controlling, controlled by or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control with the Company shall (a) issue (i) additional Shares, (ii) rights to subscribe for Shares, (iii) securities convertible into or exchangeable for Shares or (iv) rights to subscribe for any such securities or (b) deposit any Shares under this Deposit Agreement, except, in each case, under circumstances complying in all respects with the Securities Act of 1933. At the reasonable request of the Depositary where it deems necessary, the Company will furnish the Depositary with legal opinions, in forms and from counsels reasonably acceptable to the Depositary, dealing with such issues requested by the Depositary. The Depositary will not knowingly accept for deposit hereunder any Shares required to be registered under the Securities Act of 1933 unless a registration statement is in effect and will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requirements of the securities laws, rules and regulations in the United States.</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172" w:right="339" w:bottom="1440" w:gutter="0" w:footer="0" w:header="0"/>
        </w:sectPr>
      </w:pPr>
    </w:p>
    <w:bookmarkStart w:id="20" w:name="page21"/>
    <w:bookmarkEnd w:id="20"/>
    <w:p>
      <w:pPr>
        <w:ind w:left="920" w:hanging="264"/>
        <w:spacing w:after="0"/>
        <w:tabs>
          <w:tab w:leader="none" w:pos="9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Indemnification.</w:t>
      </w:r>
    </w:p>
    <w:p>
      <w:pPr>
        <w:spacing w:after="0" w:line="227" w:lineRule="exact"/>
        <w:rPr>
          <w:sz w:val="20"/>
          <w:szCs w:val="20"/>
          <w:color w:val="auto"/>
        </w:rPr>
      </w:pPr>
    </w:p>
    <w:p>
      <w:pPr>
        <w:ind w:right="180" w:firstLine="656"/>
        <w:spacing w:after="0" w:line="256" w:lineRule="auto"/>
        <w:tabs>
          <w:tab w:leader="none" w:pos="10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Company</w:t>
      </w:r>
      <w:r>
        <w:rPr>
          <w:rFonts w:ascii="Times New Roman" w:cs="Times New Roman" w:eastAsia="Times New Roman" w:hAnsi="Times New Roman"/>
          <w:sz w:val="18"/>
          <w:szCs w:val="18"/>
          <w:color w:val="auto"/>
        </w:rPr>
        <w:t>. The Company shall indemnify, defend and save harmless each of the Depositary, the Custodian and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directors, officers, employees, agents and affiliates against any loss, liability or expense (including reasonable fees and expenses of counsel) which may arise out of acts performed or omitted, in connection with the provisions of this Deposit Agreement and of the ADRs, as the same may be amended, modified or supplemented from time to time in accordance herewith (i) by either the Depositary or a Custodian 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w:t>
      </w:r>
    </w:p>
    <w:p>
      <w:pPr>
        <w:spacing w:after="0" w:line="18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indemnities set forth in the preceding paragraph shall also apply to any liability or expense which may arise out of any misstatement or alleged misstatement or omission or alleged omission in any registration statement, proxy statement, prospectus (or placement memorandum), or preliminary prospectus (or preliminary placement memorandum) relating to the offer, issuance, withdrawal or sale of ADSs or the deposit, withdrawal, offer or sale of Shares, except to the extent any such liability or expense arises out of (i) information relating to the Depositary or its agents (other than the Company), as applicable, furnished in writing by the Depositary expressly for use in any of the foregoing documents and not changed or altered by the Company or any other person (other than the Depositary) or (ii) if such information is provided, the failure to state a material fact therein necessary to make the information provided, in light of the circumstance under which provided, not misleading.</w:t>
      </w:r>
    </w:p>
    <w:p>
      <w:pPr>
        <w:spacing w:after="0" w:line="187" w:lineRule="exact"/>
        <w:rPr>
          <w:sz w:val="20"/>
          <w:szCs w:val="20"/>
          <w:color w:val="auto"/>
        </w:rPr>
      </w:pPr>
    </w:p>
    <w:p>
      <w:pPr>
        <w:ind w:right="40" w:firstLine="656"/>
        <w:spacing w:after="0" w:line="267" w:lineRule="auto"/>
        <w:tabs>
          <w:tab w:leader="none" w:pos="103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by the Depositary</w:t>
      </w:r>
      <w:r>
        <w:rPr>
          <w:rFonts w:ascii="Times New Roman" w:cs="Times New Roman" w:eastAsia="Times New Roman" w:hAnsi="Times New Roman"/>
          <w:sz w:val="18"/>
          <w:szCs w:val="18"/>
          <w:color w:val="auto"/>
        </w:rPr>
        <w:t>. Subject to the limitations provided for in Section 15(c) below, the Depositary shall indemnify, defend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save harmless the Company against any direct loss, liability or expense (including reasonable fees and expenses of counsel) incurred by the Company in respect of this Deposit Agreement to the extent such loss, liability or expense is due to the negligence or willful misconduct of the Depositary.</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1" w:name="page22"/>
    <w:bookmarkEnd w:id="21"/>
    <w:p>
      <w:pPr>
        <w:ind w:firstLine="656"/>
        <w:spacing w:after="0" w:line="270" w:lineRule="auto"/>
        <w:tabs>
          <w:tab w:leader="none" w:pos="1027"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Damages or Lost Profits</w:t>
      </w:r>
      <w:r>
        <w:rPr>
          <w:rFonts w:ascii="Times New Roman" w:cs="Times New Roman" w:eastAsia="Times New Roman" w:hAnsi="Times New Roman"/>
          <w:sz w:val="17"/>
          <w:szCs w:val="17"/>
          <w:color w:val="auto"/>
        </w:rPr>
        <w:t>. Notwithstanding any other provision of this Deposit Agreement or the ADRs to the contrary, neither the Depositary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nor the Company, nor any of their respective agents shall be liable to the other for any indirect, special, punitive or consequential damages (excluding reasonable fees and expenses of counsel) or lost profits, in each case of any form (collectively, “</w:t>
      </w:r>
      <w:r>
        <w:rPr>
          <w:rFonts w:ascii="Times New Roman" w:cs="Times New Roman" w:eastAsia="Times New Roman" w:hAnsi="Times New Roman"/>
          <w:sz w:val="17"/>
          <w:szCs w:val="17"/>
          <w:b w:val="1"/>
          <w:bCs w:val="1"/>
          <w:color w:val="auto"/>
        </w:rPr>
        <w:t>Special Damages</w:t>
      </w:r>
      <w:r>
        <w:rPr>
          <w:rFonts w:ascii="Times New Roman" w:cs="Times New Roman" w:eastAsia="Times New Roman" w:hAnsi="Times New Roman"/>
          <w:sz w:val="17"/>
          <w:szCs w:val="17"/>
          <w:color w:val="auto"/>
        </w:rPr>
        <w:t>”) incurred by any of them,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w:t>
      </w:r>
    </w:p>
    <w:p>
      <w:pPr>
        <w:ind w:right="20" w:firstLine="8"/>
        <w:spacing w:after="0" w:line="253" w:lineRule="auto"/>
        <w:tabs>
          <w:tab w:leader="none" w:pos="21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for the avoidance of doubt, the Depositary and its agents shall be entitled to legal fees and expenses in defending against any claim for Special Damages and (ii) to the extent Special Damages arise from or out of a claim brought by a third party (including, without limitation, Holders and Beneficial Owners) against the Depositary or any of its agents, the Depositary and its agents shall be entitled to full indemnification from the Company for all such Special Damages, and reasonable fees and expenses of counsel in connection therewith, unless such Special Damages are found to have been a direct result of the gross negligence or willful misconduct of the Depositary.</w:t>
      </w:r>
    </w:p>
    <w:p>
      <w:pPr>
        <w:spacing w:after="0" w:line="184" w:lineRule="exact"/>
        <w:rPr>
          <w:rFonts w:ascii="Times New Roman" w:cs="Times New Roman" w:eastAsia="Times New Roman" w:hAnsi="Times New Roman"/>
          <w:sz w:val="18"/>
          <w:szCs w:val="18"/>
          <w:color w:val="auto"/>
        </w:rPr>
      </w:pPr>
    </w:p>
    <w:p>
      <w:pPr>
        <w:ind w:right="800" w:firstLine="656"/>
        <w:spacing w:after="0" w:line="284" w:lineRule="auto"/>
        <w:tabs>
          <w:tab w:leader="none" w:pos="103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Survival. </w:t>
      </w:r>
      <w:r>
        <w:rPr>
          <w:rFonts w:ascii="Times New Roman" w:cs="Times New Roman" w:eastAsia="Times New Roman" w:hAnsi="Times New Roman"/>
          <w:sz w:val="18"/>
          <w:szCs w:val="18"/>
          <w:color w:val="auto"/>
        </w:rPr>
        <w:t>The obligations set forth in this Section 15 shall survive the termination of this Deposit Agreement and the succession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substitution of any indemnified person.</w:t>
      </w:r>
    </w:p>
    <w:p>
      <w:pPr>
        <w:spacing w:after="0" w:line="156" w:lineRule="exact"/>
        <w:rPr>
          <w:sz w:val="20"/>
          <w:szCs w:val="20"/>
          <w:color w:val="auto"/>
        </w:rPr>
      </w:pPr>
    </w:p>
    <w:p>
      <w:pPr>
        <w:ind w:left="920" w:hanging="264"/>
        <w:spacing w:after="0"/>
        <w:tabs>
          <w:tab w:leader="none" w:pos="9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Notice to Holders</w:t>
      </w:r>
      <w:r>
        <w:rPr>
          <w:rFonts w:ascii="Times New Roman" w:cs="Times New Roman" w:eastAsia="Times New Roman" w:hAnsi="Times New Roman"/>
          <w:sz w:val="18"/>
          <w:szCs w:val="18"/>
          <w:color w:val="auto"/>
        </w:rPr>
        <w:t>. Notice to any Holder shall be deemed given when first mailed, first class postage prepaid, to the address of such Holder on the ADR Register or received by such Holder. Failure to notify a Holder or any defect in the notification to a Holder shall not affect the sufficiency of notification to other Holders or to the Beneficial Owners of the ADSs evidenced by the ADRs held by such other Holders. The Depositary’s only notification obligations under this Deposit Agreement and the ADRs shall be to Holders. Notice to a Holder shall be deemed, for all purposes of the Deposit Agreement and the ADRs, to constitute notice to any and all Beneficial Owners of the ADSs evidenced by such Holder’s ADRs.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sectPr>
      </w:pPr>
    </w:p>
    <w:bookmarkStart w:id="22" w:name="page23"/>
    <w:bookmarkEnd w:id="22"/>
    <w:p>
      <w:pPr>
        <w:ind w:left="-140" w:right="120" w:firstLine="656"/>
        <w:spacing w:after="0" w:line="267" w:lineRule="auto"/>
        <w:tabs>
          <w:tab w:leader="none" w:pos="9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Notice to the Depositary or the Company</w:t>
      </w:r>
      <w:r>
        <w:rPr>
          <w:rFonts w:ascii="Times New Roman" w:cs="Times New Roman" w:eastAsia="Times New Roman" w:hAnsi="Times New Roman"/>
          <w:sz w:val="18"/>
          <w:szCs w:val="18"/>
          <w:color w:val="auto"/>
        </w:rPr>
        <w:t>. Notice to the Depositary or the Company shall be deemed given when first received by it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or facsimile transmission number set forth in (i) or (ii), respectively, or at such other address or facsimile transmission number as either may specify to the other by written notice:</w:t>
      </w:r>
    </w:p>
    <w:p>
      <w:pPr>
        <w:spacing w:after="0" w:line="175" w:lineRule="exact"/>
        <w:rPr>
          <w:rFonts w:ascii="Times New Roman" w:cs="Times New Roman" w:eastAsia="Times New Roman" w:hAnsi="Times New Roman"/>
          <w:sz w:val="18"/>
          <w:szCs w:val="18"/>
          <w:color w:val="auto"/>
        </w:rPr>
      </w:pPr>
    </w:p>
    <w:p>
      <w:pPr>
        <w:ind w:left="4080" w:hanging="324"/>
        <w:spacing w:after="0"/>
        <w:tabs>
          <w:tab w:leader="none" w:pos="4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JPMorgan Chase Bank, N.A.</w:t>
      </w:r>
    </w:p>
    <w:p>
      <w:pPr>
        <w:spacing w:after="0" w:line="27" w:lineRule="exact"/>
        <w:rPr>
          <w:rFonts w:ascii="Times New Roman" w:cs="Times New Roman" w:eastAsia="Times New Roman" w:hAnsi="Times New Roman"/>
          <w:sz w:val="18"/>
          <w:szCs w:val="18"/>
          <w:color w:val="auto"/>
        </w:rPr>
      </w:pPr>
    </w:p>
    <w:p>
      <w:pPr>
        <w:ind w:left="4080" w:right="4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383 Madison Avenue, Floor 11 New York, New York, 10179 Attention: Depositary Receipts Group Fax: (302) 220-4591</w:t>
      </w:r>
    </w:p>
    <w:p>
      <w:pPr>
        <w:spacing w:after="0" w:line="188" w:lineRule="exact"/>
        <w:rPr>
          <w:rFonts w:ascii="Times New Roman" w:cs="Times New Roman" w:eastAsia="Times New Roman" w:hAnsi="Times New Roman"/>
          <w:sz w:val="18"/>
          <w:szCs w:val="18"/>
          <w:color w:val="auto"/>
        </w:rPr>
      </w:pPr>
    </w:p>
    <w:p>
      <w:pPr>
        <w:ind w:left="4080" w:right="4820" w:hanging="324"/>
        <w:spacing w:after="0" w:line="272" w:lineRule="auto"/>
        <w:tabs>
          <w:tab w:leader="none" w:pos="408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Legend Biotech Corporation 2101 Cottontail Lane Somerset, New Jersey 08873</w:t>
      </w:r>
    </w:p>
    <w:p>
      <w:pPr>
        <w:spacing w:after="0" w:line="1" w:lineRule="exact"/>
        <w:rPr>
          <w:rFonts w:ascii="Times New Roman" w:cs="Times New Roman" w:eastAsia="Times New Roman" w:hAnsi="Times New Roman"/>
          <w:sz w:val="17"/>
          <w:szCs w:val="17"/>
          <w:color w:val="auto"/>
        </w:rPr>
      </w:pPr>
    </w:p>
    <w:p>
      <w:pPr>
        <w:ind w:left="4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Yuan Xu, Ph.D., Chief Executive Officer</w:t>
      </w:r>
    </w:p>
    <w:p>
      <w:pPr>
        <w:spacing w:after="0" w:line="9" w:lineRule="exact"/>
        <w:rPr>
          <w:rFonts w:ascii="Times New Roman" w:cs="Times New Roman" w:eastAsia="Times New Roman" w:hAnsi="Times New Roman"/>
          <w:sz w:val="17"/>
          <w:szCs w:val="17"/>
          <w:color w:val="auto"/>
        </w:rPr>
      </w:pPr>
    </w:p>
    <w:p>
      <w:pPr>
        <w:ind w:left="40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Fax: (888) 885-9822</w:t>
      </w:r>
    </w:p>
    <w:p>
      <w:pPr>
        <w:spacing w:after="0" w:line="203" w:lineRule="exact"/>
        <w:rPr>
          <w:sz w:val="20"/>
          <w:szCs w:val="20"/>
          <w:color w:val="auto"/>
        </w:rPr>
      </w:pPr>
    </w:p>
    <w:p>
      <w:pPr>
        <w:ind w:left="-140" w:firstLine="656"/>
        <w:spacing w:after="0" w:line="268" w:lineRule="auto"/>
        <w:tabs>
          <w:tab w:leader="none" w:pos="7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Deposit Agreement may be executed in any number of counterparts, each of which shall be deemed an original and all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shall constitute one instrument. Delivery of an executed signature page of this Deposit Agreement by facsimile or other electronic transmission (including “.pdf”, “.tif” or similar format) shall be effective as delivery of a manually executed counterpart hereof.</w:t>
      </w:r>
    </w:p>
    <w:p>
      <w:pPr>
        <w:spacing w:after="0" w:line="170" w:lineRule="exact"/>
        <w:rPr>
          <w:rFonts w:ascii="Times New Roman" w:cs="Times New Roman" w:eastAsia="Times New Roman" w:hAnsi="Times New Roman"/>
          <w:sz w:val="18"/>
          <w:szCs w:val="18"/>
          <w:color w:val="auto"/>
        </w:rPr>
      </w:pPr>
    </w:p>
    <w:p>
      <w:pPr>
        <w:ind w:left="-140" w:right="200" w:firstLine="656"/>
        <w:spacing w:after="0" w:line="257" w:lineRule="auto"/>
        <w:tabs>
          <w:tab w:leader="none" w:pos="7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Third Party Beneficiaries; Holders and Beneficial Owners as Parties; Binding Effect</w:t>
      </w:r>
      <w:r>
        <w:rPr>
          <w:rFonts w:ascii="Times New Roman" w:cs="Times New Roman" w:eastAsia="Times New Roman" w:hAnsi="Times New Roman"/>
          <w:sz w:val="18"/>
          <w:szCs w:val="18"/>
          <w:color w:val="auto"/>
        </w:rPr>
        <w:t>. This Deposit Agreement is for the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of the Company, the Depositary and the Holders and their respective successors hereunder, and, except to the extent specifically set forth in Section 15 of this Deposit Agreement, shall not give any legal or equitable right, remedy or claim whatsoever to any other person. The Holders and Beneficial Owners from time to time shall be parties to this Deposit Agreement and shall be bound by all of the provisions hereof. A Beneficial Owner shall only be able to exercise any right or receive any benefit hereunder solely through the Holder of the ADR(s) evidencing the ADSs owned by such Beneficial Owner.</w:t>
      </w:r>
    </w:p>
    <w:p>
      <w:pPr>
        <w:spacing w:after="0" w:line="182" w:lineRule="exact"/>
        <w:rPr>
          <w:rFonts w:ascii="Times New Roman" w:cs="Times New Roman" w:eastAsia="Times New Roman" w:hAnsi="Times New Roman"/>
          <w:sz w:val="18"/>
          <w:szCs w:val="18"/>
          <w:color w:val="auto"/>
        </w:rPr>
      </w:pPr>
    </w:p>
    <w:p>
      <w:pPr>
        <w:ind w:left="-140" w:right="260" w:firstLine="656"/>
        <w:spacing w:after="0" w:line="286" w:lineRule="auto"/>
        <w:tabs>
          <w:tab w:leader="none" w:pos="7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contained in this Deposit Agreement or in the ADRs is, or becomes, invalid, illegal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the remaining provisions contained herein and therein shall in no way be affected thereby.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460" w:top="1172" w:right="459" w:bottom="1440" w:gutter="0" w:footer="0" w:header="0"/>
        </w:sectPr>
      </w:pPr>
    </w:p>
    <w:bookmarkStart w:id="23" w:name="page24"/>
    <w:bookmarkEnd w:id="23"/>
    <w:p>
      <w:pPr>
        <w:ind w:left="920" w:hanging="264"/>
        <w:spacing w:after="0"/>
        <w:tabs>
          <w:tab w:leader="none" w:pos="9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Governing Law; Consent to Jurisdiction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56"/>
        <w:spacing w:after="0" w:line="284" w:lineRule="auto"/>
        <w:tabs>
          <w:tab w:leader="none" w:pos="10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Deposit Agreement, the ADSs and the ADRs shall be governed by and construed in accordance with the internal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New York without giving effect to the application of the conflict of law principles thereof.</w:t>
      </w:r>
    </w:p>
    <w:p>
      <w:pPr>
        <w:spacing w:after="0" w:line="158" w:lineRule="exact"/>
        <w:rPr>
          <w:rFonts w:ascii="Times New Roman" w:cs="Times New Roman" w:eastAsia="Times New Roman" w:hAnsi="Times New Roman"/>
          <w:sz w:val="18"/>
          <w:szCs w:val="18"/>
          <w:color w:val="auto"/>
        </w:rPr>
      </w:pPr>
    </w:p>
    <w:p>
      <w:pPr>
        <w:ind w:right="60" w:firstLine="656"/>
        <w:spacing w:after="0" w:line="268" w:lineRule="auto"/>
        <w:tabs>
          <w:tab w:leader="none" w:pos="1038"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By the Company. </w:t>
      </w:r>
      <w:r>
        <w:rPr>
          <w:rFonts w:ascii="Times New Roman" w:cs="Times New Roman" w:eastAsia="Times New Roman" w:hAnsi="Times New Roman"/>
          <w:sz w:val="17"/>
          <w:szCs w:val="17"/>
          <w:color w:val="auto"/>
        </w:rPr>
        <w:t>The Company irrevocably agrees that any legal suit, action or proceeding against or involving the Company brought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Depositary or any Holder or Beneficial Owner, arising out of or based upon this Deposit Agreement, the ADSs, the ADRs or the transactions contemplated herein, therein, hereby or thereby, may be instituted in any state or federal court in New York, New York, and irrevocably waives any objection which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the ADRs or the transactions contemplated herein, therein, hereby or thereby, may only be instituted in a state or federal court in New York, New York. Notwithstanding the foregoing, subject to the federal securities</w:t>
      </w:r>
    </w:p>
    <w:p>
      <w:pPr>
        <w:spacing w:after="0" w:line="4" w:lineRule="exact"/>
        <w:rPr>
          <w:rFonts w:ascii="Times New Roman" w:cs="Times New Roman" w:eastAsia="Times New Roman" w:hAnsi="Times New Roman"/>
          <w:sz w:val="17"/>
          <w:szCs w:val="17"/>
          <w:color w:val="auto"/>
        </w:rPr>
      </w:pPr>
    </w:p>
    <w:p>
      <w:pPr>
        <w:jc w:val="both"/>
        <w:ind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law carve-out set forth in Section 20(d) below, the Depositary may refer any such suit, action or proceeding to arbitration in accordance with the provisions of the Deposit Agreement and, upon such referral, any such suit, action or proceeding instituted by the Company shall be finally decided in such arbitration rather than in such court.</w:t>
      </w:r>
    </w:p>
    <w:p>
      <w:pPr>
        <w:spacing w:after="0" w:line="183" w:lineRule="exact"/>
        <w:rPr>
          <w:rFonts w:ascii="Times New Roman" w:cs="Times New Roman" w:eastAsia="Times New Roman" w:hAnsi="Times New Roman"/>
          <w:sz w:val="17"/>
          <w:szCs w:val="17"/>
          <w:color w:val="auto"/>
        </w:rPr>
      </w:pPr>
    </w:p>
    <w:p>
      <w:pPr>
        <w:ind w:right="120" w:firstLine="656"/>
        <w:spacing w:after="0" w:line="253" w:lineRule="auto"/>
        <w:tabs>
          <w:tab w:leader="none" w:pos="102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Holders and Beneficial Owners. </w:t>
      </w:r>
      <w:r>
        <w:rPr>
          <w:rFonts w:ascii="Times New Roman" w:cs="Times New Roman" w:eastAsia="Times New Roman" w:hAnsi="Times New Roman"/>
          <w:sz w:val="18"/>
          <w:szCs w:val="18"/>
          <w:color w:val="auto"/>
        </w:rPr>
        <w:t>By holding or owning an ADR or ADS or an interest therein, Holders and Beneficial Owners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irrevocably agree that any legal suit, action or proceeding against or involving Holders or Beneficial Owners brought by the Company or the Depositary, arising out of or based upon this Deposit Agreement, the ADSs, the ADRs or the transactions contemplated herein, therein, hereby or thereby, may be instituted in a state or federal court in New York, New York, and by holding or owning an ADR or ADS or an interest therein each irrevocably waives any objection which it may now or hereafter have to the laying of venue of any such proceeding, and irrevocably submits to the non-exclusive jurisdiction of such courts in any such suit, action or proceeding. By holding or owning an ADR or ADS or an interest therein, Holders and Beneficial Owners each also irrevocably agree that any legal suit, action or proceeding against or involving the Depositary brought by Holders or Beneficial Owners, arising out of or based upon this Deposit Agreement, the ADSs, the ADRs or the transactions contemplated herein, therein, hereby or thereby, may only be instituted in a state or federal court in New York, New York. Notwithstanding the foregoing, subject to the federal securities law carve-out set forth in Section 20(d) below, the Depositary may refer any such suit, action or proceeding to arbitration in accordance with the provisions of the Deposit Agreement and, upon such referral, any such suit, action or proceeding instituted by Holders and/or Beneficial Owners shall be finally decided in such arbitration rather than in such court.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4" w:name="page25"/>
    <w:bookmarkEnd w:id="24"/>
    <w:p>
      <w:pPr>
        <w:ind w:left="-8" w:firstLine="656"/>
        <w:spacing w:after="0" w:line="267" w:lineRule="auto"/>
        <w:tabs>
          <w:tab w:leader="none" w:pos="103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Optional Arbitration</w:t>
      </w:r>
      <w:r>
        <w:rPr>
          <w:rFonts w:ascii="Times New Roman" w:cs="Times New Roman" w:eastAsia="Times New Roman" w:hAnsi="Times New Roman"/>
          <w:sz w:val="17"/>
          <w:szCs w:val="17"/>
          <w:color w:val="auto"/>
        </w:rPr>
        <w:t>. Notwithstanding anything in this Deposit Agreement to the contrary, each of the parties hereto (i.e. the Company,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Depositary and all Holders and Beneficial Owners) agrees that: (i) the Depositary may, in its sole discretion, elect to institute any dispute, suit, action, controversy, claim or proceeding directly or indirectly based on, arising out of or relating to this Deposit Agreement, the ADSs, the ADRs or the transactions contemplated herein, therein, hereby or thereby, including without limitation any question regarding its or their existence, validity, interpretation, performance or termination (a “</w:t>
      </w:r>
      <w:r>
        <w:rPr>
          <w:rFonts w:ascii="Times New Roman" w:cs="Times New Roman" w:eastAsia="Times New Roman" w:hAnsi="Times New Roman"/>
          <w:sz w:val="17"/>
          <w:szCs w:val="17"/>
          <w:b w:val="1"/>
          <w:bCs w:val="1"/>
          <w:color w:val="auto"/>
        </w:rPr>
        <w:t>Dispute</w:t>
      </w:r>
      <w:r>
        <w:rPr>
          <w:rFonts w:ascii="Times New Roman" w:cs="Times New Roman" w:eastAsia="Times New Roman" w:hAnsi="Times New Roman"/>
          <w:sz w:val="17"/>
          <w:szCs w:val="17"/>
          <w:color w:val="auto"/>
        </w:rPr>
        <w:t>”) against any other party or parties hereto (including, without limitation, Disputes, suits, actions or proceedings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hereto (including, without limitation, Disputes, suits, actions or proceedings brought by Holders and Beneficial Owners) against the Depositary shall be referred to and finally settled by an arbitration conducted under the terms set out below; provided however, notwithstanding the Depositary’s written notice under this clause (ii), to the extent there are specific federal securities law violation aspects to any claims against the Company and/or the Depositary brought by any Holder or Beneficial Owner, the federal securities law violation aspects of such claims brought by a Holder or Beneficial Owner against the Company and/or the Depositary may, at the option of such Holder or Beneficial Owner, remain in state or federal court in New York, New York and all other aspects, claims, Disputes, legal suits, actions and/or proceedings brought by such Holder or Beneficial Owner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A notice of arbitration may be mailed to the Company at its address last specified for notices under this Deposit Agreement, and, if applicable, to any Holders at their addresses on the ADR Register, which notice to any such Holder, for the avoidance of doubt, shall be deemed, for all purposes of the Deposit Agreement and the ADRs, including, without limitation, the arbitration provisions contained in this clause (d), constitute notice to any and all Beneficial Owners of the ADSs evidenced by such Holder’s ADRs.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 The number of arbitrators shall be three, each of whom shall be disinterested in the dispute or controversy, shall have no connection with any party thereto, and shall be an attorney experienced in international securities transactions. Each of the Company and the Depositary shall appoint one arbitrator and the two arbitrators shall select a third arbitrator who shall serve as chairperson of the tribunal. If a Dispute shall involve more than two parties, the parties shall attempt to align themselves in two sides (i.e.,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calendar days after the Depositary serves the arbitration demand or the two arbitrators fail to select a third arbitrator within thirty</w:t>
      </w:r>
    </w:p>
    <w:p>
      <w:pPr>
        <w:spacing w:after="0" w:line="195" w:lineRule="exact"/>
        <w:rPr>
          <w:rFonts w:ascii="Times New Roman" w:cs="Times New Roman" w:eastAsia="Times New Roman" w:hAnsi="Times New Roman"/>
          <w:sz w:val="17"/>
          <w:szCs w:val="17"/>
          <w:color w:val="auto"/>
        </w:rPr>
      </w:pPr>
    </w:p>
    <w:p>
      <w:pPr>
        <w:ind w:left="-8" w:right="40" w:firstLine="8"/>
        <w:spacing w:after="0" w:line="251" w:lineRule="auto"/>
        <w:tabs>
          <w:tab w:leader="none" w:pos="33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of the selection of the second arbitrator, the American Arbitration Association in the case of an arbitration in New York, or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 The arbitrators shall have no authority to award damages against any party not measured by the prevailing party’s actual damages and shall have no authority to award any consequential, special or punitive damages against any party and may not, in any event, make any ruling, finding or award that does not conform to the terms and conditions of this Deposit Agreement. In all cases, the fees of the arbitrators and other costs incurred by the parties in connection with such arbitration shall be paid by the party (or parties) that is (or are) unsuccessful in such arbitration. No party hereto shall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spacing w:after="0" w:line="192" w:lineRule="exact"/>
        <w:rPr>
          <w:rFonts w:ascii="Times New Roman" w:cs="Times New Roman" w:eastAsia="Times New Roman" w:hAnsi="Times New Roman"/>
          <w:sz w:val="18"/>
          <w:szCs w:val="18"/>
          <w:color w:val="auto"/>
        </w:rPr>
      </w:pPr>
    </w:p>
    <w:p>
      <w:pPr>
        <w:ind w:left="-8" w:right="80" w:firstLine="656"/>
        <w:spacing w:after="0" w:line="258" w:lineRule="auto"/>
        <w:tabs>
          <w:tab w:leader="none" w:pos="10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in this Deposit Agreement to the contrary, any suit, action or proceeding against the Company based on this Deposit Agreement, the ADSs, the ADRs or the transactions contemplated herein, therein, hereby or thereby, may be instituted by the Depositary in any competent court in the Cayman Islands, Hong Kong, the People’s Republic of China, the United States and/or any other court of competent jurisdiction, or, subject to the federal securities law carve-out set forth in Section 20(d) above, by the Depositary through the commencement of an arbitration pursuant to Section 20(d) of this Deposit Agreement.</w:t>
      </w:r>
    </w:p>
    <w:p>
      <w:pPr>
        <w:spacing w:after="0" w:line="3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1172" w:right="359" w:bottom="1440" w:gutter="0" w:footer="0" w:header="0"/>
        </w:sectPr>
      </w:pPr>
    </w:p>
    <w:bookmarkStart w:id="25" w:name="page26"/>
    <w:bookmarkEnd w:id="25"/>
    <w:p>
      <w:pPr>
        <w:ind w:left="912" w:hanging="264"/>
        <w:spacing w:after="0"/>
        <w:tabs>
          <w:tab w:leader="none" w:pos="91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Agent for Service.</w:t>
      </w:r>
    </w:p>
    <w:p>
      <w:pPr>
        <w:spacing w:after="0" w:line="227" w:lineRule="exact"/>
        <w:rPr>
          <w:sz w:val="20"/>
          <w:szCs w:val="20"/>
          <w:color w:val="auto"/>
        </w:rPr>
      </w:pPr>
    </w:p>
    <w:p>
      <w:pPr>
        <w:ind w:left="-8" w:right="80" w:firstLine="656"/>
        <w:spacing w:after="0" w:line="257" w:lineRule="auto"/>
        <w:tabs>
          <w:tab w:leader="none" w:pos="101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w:t>
      </w:r>
      <w:r>
        <w:rPr>
          <w:rFonts w:ascii="Times New Roman" w:cs="Times New Roman" w:eastAsia="Times New Roman" w:hAnsi="Times New Roman"/>
          <w:sz w:val="18"/>
          <w:szCs w:val="18"/>
          <w:color w:val="auto"/>
        </w:rPr>
        <w:t>. The Company has appointed Yuan Xu, Ph.D., Chief Executive Officer, Legend Biotech Corporation, 2101 Cottontail Lane,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Somerset, New Jersey 08873, as its authorized agent (the “</w:t>
      </w:r>
      <w:r>
        <w:rPr>
          <w:rFonts w:ascii="Times New Roman" w:cs="Times New Roman" w:eastAsia="Times New Roman" w:hAnsi="Times New Roman"/>
          <w:sz w:val="18"/>
          <w:szCs w:val="18"/>
          <w:b w:val="1"/>
          <w:bCs w:val="1"/>
          <w:color w:val="auto"/>
        </w:rPr>
        <w:t>Authorized Agent</w:t>
      </w:r>
      <w:r>
        <w:rPr>
          <w:rFonts w:ascii="Times New Roman" w:cs="Times New Roman" w:eastAsia="Times New Roman" w:hAnsi="Times New Roman"/>
          <w:sz w:val="18"/>
          <w:szCs w:val="18"/>
          <w:color w:val="auto"/>
        </w:rPr>
        <w:t>”) upon which process may be served in any such suit, action or proceeding arising out of or based on this Deposit Agreement, the ADSs, the ADRs or the transactions contemplated herein, therein, hereby or thereby which may be instituted in any state or federal court in New York, New York by the Depositary or any Holder, and waives any other requirements of or objections to personal jurisdiction with respect thereto. Subject to the Company’s rights to replace the Authorized Agent with another entity in the manner required were the Authorized Agent to have resigned, such appointment shall be irrevocable.</w:t>
      </w:r>
    </w:p>
    <w:p>
      <w:pPr>
        <w:spacing w:after="0" w:line="182" w:lineRule="exact"/>
        <w:rPr>
          <w:rFonts w:ascii="Times New Roman" w:cs="Times New Roman" w:eastAsia="Times New Roman" w:hAnsi="Times New Roman"/>
          <w:sz w:val="18"/>
          <w:szCs w:val="18"/>
          <w:color w:val="auto"/>
        </w:rPr>
      </w:pPr>
    </w:p>
    <w:p>
      <w:pPr>
        <w:ind w:left="-8" w:firstLine="656"/>
        <w:spacing w:after="0" w:line="270" w:lineRule="auto"/>
        <w:tabs>
          <w:tab w:leader="none" w:pos="103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Agent for Service of Process</w:t>
      </w:r>
      <w:r>
        <w:rPr>
          <w:rFonts w:ascii="Times New Roman" w:cs="Times New Roman" w:eastAsia="Times New Roman" w:hAnsi="Times New Roman"/>
          <w:sz w:val="17"/>
          <w:szCs w:val="17"/>
          <w:color w:val="auto"/>
        </w:rPr>
        <w:t>. The Company represents and warrants that the Authorized Agent has agreed to act as said agent for service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process and/or notice of arbitration,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(including arbitration)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 validity of such service or any judgment or award rendered in any suit, action or proceeding based thereon. If (i) the Authorized Agent named above is no longer employed by the Company or (ii) if, for any reason, the Authorized Agent named above or any successor thereto shall no longer serve as agent of the Company to receive service of process, notice or papers in New York, the Company shall promptly appoint a successor that is a legal entity with offices in New York, New York, so as to serve and will promptly advise the Depositary thereof.</w:t>
      </w:r>
    </w:p>
    <w:p>
      <w:pPr>
        <w:spacing w:after="0" w:line="172" w:lineRule="exact"/>
        <w:rPr>
          <w:rFonts w:ascii="Times New Roman" w:cs="Times New Roman" w:eastAsia="Times New Roman" w:hAnsi="Times New Roman"/>
          <w:sz w:val="17"/>
          <w:szCs w:val="17"/>
          <w:color w:val="auto"/>
        </w:rPr>
      </w:pPr>
    </w:p>
    <w:p>
      <w:pPr>
        <w:jc w:val="both"/>
        <w:ind w:left="-8" w:right="100" w:firstLine="656"/>
        <w:spacing w:after="0" w:line="273" w:lineRule="auto"/>
        <w:tabs>
          <w:tab w:leader="none" w:pos="1019"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Waiver of Personal Service of Process</w:t>
      </w:r>
      <w:r>
        <w:rPr>
          <w:rFonts w:ascii="Times New Roman" w:cs="Times New Roman" w:eastAsia="Times New Roman" w:hAnsi="Times New Roman"/>
          <w:sz w:val="17"/>
          <w:szCs w:val="17"/>
          <w:color w:val="auto"/>
        </w:rPr>
        <w:t>. In the event the Company fails to continue such designation and appointment in full force and effect,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 hereby waives personal service of process upon it and consents that any such service of process may be made by certified or registered mail, return receipt requested, directed to the Company at its address last specified for notices hereunder, and service so made shall be deemed completed five</w:t>
      </w:r>
    </w:p>
    <w:p>
      <w:pPr>
        <w:spacing w:after="0" w:line="1" w:lineRule="exact"/>
        <w:rPr>
          <w:rFonts w:ascii="Times New Roman" w:cs="Times New Roman" w:eastAsia="Times New Roman" w:hAnsi="Times New Roman"/>
          <w:sz w:val="17"/>
          <w:szCs w:val="17"/>
          <w:color w:val="auto"/>
        </w:rPr>
      </w:pPr>
    </w:p>
    <w:p>
      <w:pPr>
        <w:ind w:left="-8" w:right="20" w:firstLine="8"/>
        <w:spacing w:after="0" w:line="255" w:lineRule="auto"/>
        <w:tabs>
          <w:tab w:leader="none" w:pos="2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same shall have been so mailed. Nothing in this Deposit Agreement, including without limitation, anything contained in this Section 21 of the Deposit Agreement, will affect the right of the Depositary or any Holder to serve process on the Company in any other manner permitted by applicable law, including, without limitation, by personal service within or without the State of New York.</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170" w:right="339" w:bottom="1440" w:gutter="0" w:footer="0" w:header="0"/>
        </w:sectPr>
      </w:pPr>
    </w:p>
    <w:bookmarkStart w:id="26" w:name="page27"/>
    <w:bookmarkEnd w:id="26"/>
    <w:p>
      <w:pPr>
        <w:ind w:left="-20" w:right="20" w:firstLine="656"/>
        <w:spacing w:after="0" w:line="255" w:lineRule="auto"/>
        <w:tabs>
          <w:tab w:leader="none" w:pos="8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 xml:space="preserve">Waiver of Immunities. </w:t>
      </w:r>
      <w:r>
        <w:rPr>
          <w:rFonts w:ascii="Times New Roman" w:cs="Times New Roman" w:eastAsia="Times New Roman" w:hAnsi="Times New Roman"/>
          <w:sz w:val="18"/>
          <w:szCs w:val="18"/>
          <w:color w:val="auto"/>
        </w:rPr>
        <w:t>To the extent that the Company or any of its properties, assets or revenues may have or may hereafter be entitled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attributed to it, any right of immunity, on the grounds of sovereignty or otherwise, from any legal action, suit or proceeding, including any arbitration,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or arbitration award,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spacing w:after="0" w:line="184" w:lineRule="exact"/>
        <w:rPr>
          <w:rFonts w:ascii="Times New Roman" w:cs="Times New Roman" w:eastAsia="Times New Roman" w:hAnsi="Times New Roman"/>
          <w:sz w:val="18"/>
          <w:szCs w:val="18"/>
          <w:color w:val="auto"/>
        </w:rPr>
      </w:pPr>
    </w:p>
    <w:p>
      <w:pPr>
        <w:ind w:left="-20" w:firstLine="656"/>
        <w:spacing w:after="0" w:line="253" w:lineRule="auto"/>
        <w:tabs>
          <w:tab w:leader="none" w:pos="8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EACH PARTY TO THIS DEPOSIT AGREEMENT (INCLUDING, FOR AVOIDANCE OF DOUBT,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 INCLUDING ANY CLAIM UNDER THE UNITED STATES FEDERAL SECURITIES LAWS. No provision of this Deposit Agreement or any ADR is intended to constitute a waiver or limitation of any rights which a Holder or any Beneficial Owner may have under the Securities Act of 1933 or the Securities Exchange Act of 1934, to the extent applicable.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1170" w:right="339" w:bottom="1440" w:gutter="0" w:footer="0" w:header="0"/>
        </w:sectPr>
      </w:pPr>
    </w:p>
    <w:bookmarkStart w:id="27" w:name="page28"/>
    <w:bookmarkEnd w:id="27"/>
    <w:p>
      <w:pPr>
        <w:ind w:right="40" w:firstLine="992"/>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IN WITNESS WHEREOF, Legend Biotech Corporation and JPMORGAN CHASE BANK, N.A. have duly executed this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LEGEND BIOTECH CORPORATION</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Yuan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Yuan Xu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A. Kelly III</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A. Kelly III</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Deposit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8" w:name="page29"/>
    <w:bookmarkEnd w:id="28"/>
    <w:p>
      <w:pPr>
        <w:jc w:val="center"/>
        <w:ind w:right="-1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EXHIBIT A</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ANNEXED TO AND INCORPORATED IN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DEPOSIT AGREEMENT</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 OF FACE OF ADR]</w:t>
      </w:r>
    </w:p>
    <w:p>
      <w:pPr>
        <w:spacing w:after="0" w:line="22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No.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857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3"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Each ADS represents</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Two (2) Shares</w:t>
      </w:r>
    </w:p>
    <w:p>
      <w:pPr>
        <w:spacing w:after="0" w:line="20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CUSIP: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AMERICAN DEPOSITARY RECEIPT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evidencing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AMERICAN DEPOSITARY SHARES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representing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ORDINARY SHARES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LEGEND BIOTECH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(Incorporated under the laws of the Cayman Islands)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JPMORGAN CHASE BANK, N.A., a national banking association organized under the laws of the United States of America, as depositary</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hereby certifies that is the registered owner (a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each (subject to paragraph (13) (</w:t>
      </w:r>
      <w:r>
        <w:rPr>
          <w:rFonts w:ascii="Times New Roman" w:cs="Times New Roman" w:eastAsia="Times New Roman" w:hAnsi="Times New Roman"/>
          <w:sz w:val="18"/>
          <w:szCs w:val="18"/>
          <w:i w:val="1"/>
          <w:iCs w:val="1"/>
          <w:color w:val="auto"/>
        </w:rPr>
        <w:t>Changes Affecting Deposited Securities</w:t>
      </w:r>
      <w:r>
        <w:rPr>
          <w:rFonts w:ascii="Times New Roman" w:cs="Times New Roman" w:eastAsia="Times New Roman" w:hAnsi="Times New Roman"/>
          <w:sz w:val="18"/>
          <w:szCs w:val="18"/>
          <w:color w:val="auto"/>
        </w:rPr>
        <w:t>)) representing two (2) ordinary shares (including the rights to receive Shares described in paragraph (1) (</w:t>
      </w:r>
      <w:r>
        <w:rPr>
          <w:rFonts w:ascii="Times New Roman" w:cs="Times New Roman" w:eastAsia="Times New Roman" w:hAnsi="Times New Roman"/>
          <w:sz w:val="18"/>
          <w:szCs w:val="18"/>
          <w:i w:val="1"/>
          <w:iCs w:val="1"/>
          <w:color w:val="auto"/>
        </w:rPr>
        <w:t>Issuance of ADSs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any other securities, cash or property from time to time held by the Depositary in respect or in lieu of deposited Shares, the “</w:t>
      </w:r>
      <w:r>
        <w:rPr>
          <w:rFonts w:ascii="Times New Roman" w:cs="Times New Roman" w:eastAsia="Times New Roman" w:hAnsi="Times New Roman"/>
          <w:sz w:val="18"/>
          <w:szCs w:val="18"/>
          <w:b w:val="1"/>
          <w:bCs w:val="1"/>
          <w:color w:val="auto"/>
        </w:rPr>
        <w:t>Deposited Securities</w:t>
      </w:r>
      <w:r>
        <w:rPr>
          <w:rFonts w:ascii="Times New Roman" w:cs="Times New Roman" w:eastAsia="Times New Roman" w:hAnsi="Times New Roman"/>
          <w:sz w:val="18"/>
          <w:szCs w:val="18"/>
          <w:color w:val="auto"/>
        </w:rPr>
        <w:t>”), of Legend Biotech Corporation, a corporation organized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deposited under the Deposit Agreement, dated as of June 5, 2020 (as amended from time to time, the “</w:t>
      </w:r>
      <w:r>
        <w:rPr>
          <w:rFonts w:ascii="Times New Roman" w:cs="Times New Roman" w:eastAsia="Times New Roman" w:hAnsi="Times New Roman"/>
          <w:sz w:val="18"/>
          <w:szCs w:val="18"/>
          <w:b w:val="1"/>
          <w:bCs w:val="1"/>
          <w:color w:val="auto"/>
        </w:rPr>
        <w:t>Deposit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the Company, the Depositary and all Holders and Beneficial Owners from time to time of American Depositary Receipts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thereunder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each of whom by accepting 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-1262380</wp:posOffset>
            </wp:positionV>
            <wp:extent cx="8001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00100" cy="8890"/>
                    </a:xfrm>
                    <a:prstGeom prst="rect">
                      <a:avLst/>
                    </a:prstGeom>
                    <a:noFill/>
                  </pic:spPr>
                </pic:pic>
              </a:graphicData>
            </a:graphic>
          </wp:anchor>
        </w:drawing>
        <w:drawing>
          <wp:anchor simplePos="0" relativeHeight="251657728" behindDoc="1" locked="0" layoutInCell="0" allowOverlap="1">
            <wp:simplePos x="0" y="0"/>
            <wp:positionH relativeFrom="column">
              <wp:posOffset>5008245</wp:posOffset>
            </wp:positionH>
            <wp:positionV relativeFrom="paragraph">
              <wp:posOffset>-1262380</wp:posOffset>
            </wp:positionV>
            <wp:extent cx="6858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sectPr>
      </w:pPr>
    </w:p>
    <w:bookmarkStart w:id="29" w:name="page30"/>
    <w:bookmarkEnd w:id="29"/>
    <w:p>
      <w:pPr>
        <w:ind w:left="912" w:hanging="264"/>
        <w:spacing w:after="0"/>
        <w:tabs>
          <w:tab w:leader="none" w:pos="91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Issuance of ADSs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8" w:right="180" w:firstLine="980"/>
        <w:spacing w:after="0" w:line="277" w:lineRule="auto"/>
        <w:tabs>
          <w:tab w:leader="none" w:pos="1209" w:val="left"/>
        </w:tabs>
        <w:numPr>
          <w:ilvl w:val="2"/>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Issuance</w:t>
      </w:r>
      <w:r>
        <w:rPr>
          <w:rFonts w:ascii="Times New Roman" w:cs="Times New Roman" w:eastAsia="Times New Roman" w:hAnsi="Times New Roman"/>
          <w:sz w:val="17"/>
          <w:szCs w:val="17"/>
          <w:color w:val="auto"/>
        </w:rPr>
        <w:t>. This ADR is one of the ADRs issued under the Deposit Agreement. Subject to the other provisions hereof, the Depositary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 issue ADRs for delivery at the Transfer Office (as hereinafter defined) only against deposit of: (i) Shares in a form satisfactory to the Custodian; or</w:t>
      </w:r>
    </w:p>
    <w:p>
      <w:pPr>
        <w:spacing w:after="0" w:line="1" w:lineRule="exact"/>
        <w:rPr>
          <w:rFonts w:ascii="Times New Roman" w:cs="Times New Roman" w:eastAsia="Times New Roman" w:hAnsi="Times New Roman"/>
          <w:sz w:val="17"/>
          <w:szCs w:val="17"/>
          <w:color w:val="auto"/>
        </w:rPr>
      </w:pPr>
    </w:p>
    <w:p>
      <w:pPr>
        <w:ind w:left="272" w:hanging="272"/>
        <w:spacing w:after="0"/>
        <w:tabs>
          <w:tab w:leader="none" w:pos="27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receive Shares from the Company or any registrar, transfer agent, clearing agent or other entity recording Share ownership or transactions.</w:t>
      </w:r>
    </w:p>
    <w:p>
      <w:pPr>
        <w:spacing w:after="0" w:line="204" w:lineRule="exact"/>
        <w:rPr>
          <w:rFonts w:ascii="Times New Roman" w:cs="Times New Roman" w:eastAsia="Times New Roman" w:hAnsi="Times New Roman"/>
          <w:sz w:val="18"/>
          <w:szCs w:val="18"/>
          <w:color w:val="auto"/>
        </w:rPr>
      </w:pPr>
    </w:p>
    <w:p>
      <w:pPr>
        <w:ind w:left="1232" w:hanging="260"/>
        <w:spacing w:after="0"/>
        <w:tabs>
          <w:tab w:leader="none" w:pos="1232"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Lending</w:t>
      </w:r>
      <w:r>
        <w:rPr>
          <w:rFonts w:ascii="Times New Roman" w:cs="Times New Roman" w:eastAsia="Times New Roman" w:hAnsi="Times New Roman"/>
          <w:sz w:val="18"/>
          <w:szCs w:val="18"/>
          <w:color w:val="auto"/>
        </w:rPr>
        <w:t>. In its capacity as Depositary, the Depositary shall not lend Shares or ADSs.</w:t>
      </w:r>
    </w:p>
    <w:p>
      <w:pPr>
        <w:spacing w:after="0" w:line="225" w:lineRule="exact"/>
        <w:rPr>
          <w:rFonts w:ascii="Times New Roman" w:cs="Times New Roman" w:eastAsia="Times New Roman" w:hAnsi="Times New Roman"/>
          <w:sz w:val="18"/>
          <w:szCs w:val="18"/>
          <w:color w:val="auto"/>
        </w:rPr>
      </w:pPr>
    </w:p>
    <w:p>
      <w:pPr>
        <w:ind w:left="1212" w:hanging="240"/>
        <w:spacing w:after="0"/>
        <w:tabs>
          <w:tab w:leader="none" w:pos="1212"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Depositors</w:t>
      </w:r>
      <w:r>
        <w:rPr>
          <w:rFonts w:ascii="Times New Roman" w:cs="Times New Roman" w:eastAsia="Times New Roman" w:hAnsi="Times New Roman"/>
          <w:sz w:val="18"/>
          <w:szCs w:val="18"/>
          <w:color w:val="auto"/>
        </w:rPr>
        <w:t>. Every person depositing Shares under the Deposit Agreement represents and warrants that:</w:t>
      </w:r>
    </w:p>
    <w:p>
      <w:pPr>
        <w:spacing w:after="0" w:line="227" w:lineRule="exact"/>
        <w:rPr>
          <w:sz w:val="20"/>
          <w:szCs w:val="20"/>
          <w:color w:val="auto"/>
        </w:rPr>
      </w:pPr>
    </w:p>
    <w:p>
      <w:pPr>
        <w:ind w:left="1292" w:right="640" w:hanging="320"/>
        <w:spacing w:after="0" w:line="282" w:lineRule="auto"/>
        <w:tabs>
          <w:tab w:leader="none" w:pos="12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and the certificates therefor are duly authorized, validly issued and outstanding, fully paid, nonassessable and legally obtained by such person,</w:t>
      </w:r>
    </w:p>
    <w:p>
      <w:pPr>
        <w:spacing w:after="0" w:line="161"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pre-emptive and comparable rights, if any, with respect to such Shares have been validly waived or exercised,</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making such deposit is duly authorized so to do,</w:t>
      </w:r>
    </w:p>
    <w:p>
      <w:pPr>
        <w:spacing w:after="0" w:line="225" w:lineRule="exact"/>
        <w:rPr>
          <w:rFonts w:ascii="Times New Roman" w:cs="Times New Roman" w:eastAsia="Times New Roman" w:hAnsi="Times New Roman"/>
          <w:sz w:val="18"/>
          <w:szCs w:val="18"/>
          <w:color w:val="auto"/>
        </w:rPr>
      </w:pPr>
    </w:p>
    <w:p>
      <w:pPr>
        <w:ind w:left="1292" w:hanging="320"/>
        <w:spacing w:after="0"/>
        <w:tabs>
          <w:tab w:leader="none" w:pos="12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presented for deposit are free and clear of any lien, encumbrance, security interest, charge, mortgage or adverse claim and</w:t>
      </w:r>
    </w:p>
    <w:p>
      <w:pPr>
        <w:spacing w:after="0" w:line="221" w:lineRule="exact"/>
        <w:rPr>
          <w:rFonts w:ascii="Times New Roman" w:cs="Times New Roman" w:eastAsia="Times New Roman" w:hAnsi="Times New Roman"/>
          <w:sz w:val="18"/>
          <w:szCs w:val="18"/>
          <w:color w:val="auto"/>
        </w:rPr>
      </w:pPr>
    </w:p>
    <w:p>
      <w:pPr>
        <w:ind w:left="1292" w:hanging="320"/>
        <w:spacing w:after="0" w:line="256" w:lineRule="auto"/>
        <w:tabs>
          <w:tab w:leader="none" w:pos="129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Shares (A) are not “restricted securities” as such term is defined in Rule 144 under the Securities Act of 1933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unless at the time of deposit the requirements of paragraphs (c), (e), (f) and (h) of Rule 144 shall not apply and such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freely transferred and may otherwise be offered and sold freely in the United States or (B) have been registered under the Securities Act of 1933. To the extent the person depositing Shares is an “affiliate” of the Company as such term is defined in Rule 144, the person also represents and warrants that upon the sale of the ADSs, all of the provisions of Rule 144 which enable the Shares to be freely sold (in the form of ADSs) will be fully complied with and, as a result thereof, all of the ADSs issued in respect of such Shares will not be on the sale thereof, Restricted Securities.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1170" w:right="339" w:bottom="1440" w:gutter="0" w:footer="0" w:header="0"/>
        </w:sectPr>
      </w:pPr>
    </w:p>
    <w:bookmarkStart w:id="30" w:name="page31"/>
    <w:bookmarkEnd w:id="30"/>
    <w:p>
      <w:pPr>
        <w:ind w:right="80" w:firstLine="99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Such representations and warranties shall survive the deposit and withdrawal of Shares and the issuance and cancellation of ADSs in respect thereof and the transfer of such ADSs.</w:t>
      </w:r>
    </w:p>
    <w:p>
      <w:pPr>
        <w:spacing w:after="0" w:line="162" w:lineRule="exact"/>
        <w:rPr>
          <w:sz w:val="20"/>
          <w:szCs w:val="20"/>
          <w:color w:val="auto"/>
        </w:rPr>
      </w:pPr>
    </w:p>
    <w:p>
      <w:pPr>
        <w:ind w:right="240" w:firstLine="980"/>
        <w:spacing w:after="0" w:line="266" w:lineRule="auto"/>
        <w:tabs>
          <w:tab w:leader="none" w:pos="122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refuse to accept for such deposit any Shares identified by the Company in order to facilitate compliance with the requirements of the securities laws, rules and regulations of the United States, including, without limitation, the Securities Act of 1933 and the rules and regulations made thereunder.</w:t>
      </w:r>
    </w:p>
    <w:p>
      <w:pPr>
        <w:spacing w:after="0" w:line="171" w:lineRule="exact"/>
        <w:rPr>
          <w:rFonts w:ascii="Times New Roman" w:cs="Times New Roman" w:eastAsia="Times New Roman" w:hAnsi="Times New Roman"/>
          <w:sz w:val="18"/>
          <w:szCs w:val="18"/>
          <w:color w:val="auto"/>
        </w:rPr>
      </w:pPr>
    </w:p>
    <w:p>
      <w:pPr>
        <w:ind w:firstLine="656"/>
        <w:spacing w:after="0" w:line="256" w:lineRule="auto"/>
        <w:tabs>
          <w:tab w:leader="none" w:pos="9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Withdrawal of Deposited Securities</w:t>
      </w:r>
      <w:r>
        <w:rPr>
          <w:rFonts w:ascii="Times New Roman" w:cs="Times New Roman" w:eastAsia="Times New Roman" w:hAnsi="Times New Roman"/>
          <w:sz w:val="18"/>
          <w:szCs w:val="18"/>
          <w:color w:val="auto"/>
        </w:rPr>
        <w:t>. 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(5) (</w:t>
      </w:r>
      <w:r>
        <w:rPr>
          <w:rFonts w:ascii="Times New Roman" w:cs="Times New Roman" w:eastAsia="Times New Roman" w:hAnsi="Times New Roman"/>
          <w:sz w:val="18"/>
          <w:szCs w:val="18"/>
          <w:i w:val="1"/>
          <w:iCs w:val="1"/>
          <w:color w:val="auto"/>
        </w:rPr>
        <w:t>Liability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Holder or Beneficial Owner for Taxes, Duties and Other Charges</w:t>
      </w:r>
      <w:r>
        <w:rPr>
          <w:rFonts w:ascii="Times New Roman" w:cs="Times New Roman" w:eastAsia="Times New Roman" w:hAnsi="Times New Roman"/>
          <w:sz w:val="18"/>
          <w:szCs w:val="18"/>
          <w:color w:val="auto"/>
        </w:rPr>
        <w:t>), upon surrender of (a) a certificated ADR in a form satisfactory to the Depositary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Office or (b) proper instructions and documentation in the case of a Direct Registration ADR, the Holder hereof is entitled to delivery at, or to the extent in dematerialized form from, the Custodian’s office of the Deposited Securities at the time represented by the ADSs evidenced by this ADR. At the request, risk and expense of the Holder hereof, the Depositary may deliver such Deposited Securities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31" w:name="page32"/>
    <w:bookmarkEnd w:id="31"/>
    <w:p>
      <w:pPr>
        <w:ind w:left="-40" w:firstLine="656"/>
        <w:spacing w:after="0" w:line="252" w:lineRule="auto"/>
        <w:tabs>
          <w:tab w:leader="none" w:pos="8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Transfers, Split-Ups and Combinations of ADRs</w:t>
      </w:r>
      <w:r>
        <w:rPr>
          <w:rFonts w:ascii="Times New Roman" w:cs="Times New Roman" w:eastAsia="Times New Roman" w:hAnsi="Times New Roman"/>
          <w:sz w:val="18"/>
          <w:szCs w:val="18"/>
          <w:color w:val="auto"/>
        </w:rPr>
        <w:t>. The Depositary or its agent will keep, at a designated transfer office (the “</w:t>
      </w:r>
      <w:r>
        <w:rPr>
          <w:rFonts w:ascii="Times New Roman" w:cs="Times New Roman" w:eastAsia="Times New Roman" w:hAnsi="Times New Roman"/>
          <w:sz w:val="18"/>
          <w:szCs w:val="18"/>
          <w:b w:val="1"/>
          <w:bCs w:val="1"/>
          <w:color w:val="auto"/>
        </w:rPr>
        <w:t>Transfer Office</w:t>
      </w:r>
      <w:r>
        <w:rPr>
          <w:rFonts w:ascii="Times New Roman" w:cs="Times New Roman" w:eastAsia="Times New Roman" w:hAnsi="Times New Roman"/>
          <w:sz w:val="18"/>
          <w:szCs w:val="18"/>
          <w:color w:val="auto"/>
        </w:rPr>
        <w:t>”), (a) a register (the “</w:t>
      </w:r>
      <w:r>
        <w:rPr>
          <w:rFonts w:ascii="Times New Roman" w:cs="Times New Roman" w:eastAsia="Times New Roman" w:hAnsi="Times New Roman"/>
          <w:sz w:val="18"/>
          <w:szCs w:val="18"/>
          <w:b w:val="1"/>
          <w:bCs w:val="1"/>
          <w:color w:val="auto"/>
        </w:rPr>
        <w:t>ADR Register</w:t>
      </w:r>
      <w:r>
        <w:rPr>
          <w:rFonts w:ascii="Times New Roman" w:cs="Times New Roman" w:eastAsia="Times New Roman" w:hAnsi="Times New Roman"/>
          <w:sz w:val="18"/>
          <w:szCs w:val="18"/>
          <w:color w:val="auto"/>
        </w:rPr>
        <w:t>”) for the registration, registration of transfer, combination and split-up of ADRs, and, in the case of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ADRs, shall include the Direct Registration System, which at all reasonable times will be open for inspection by Holders and the Company for the purpose of communicating with Holders in the 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or upon delivery to the Depositary of proper instruments of transfer, is transferable by delivery with the same effect as in the case of negotiable instruments under the laws of the State of New York;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and (5), this ADR is transferable on the ADR Register and may be split into other ADRs or combined with other ADRs into one 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provided that the Depositary may close the ADR Register at any time or from time to time when deemed expedient by it or, in the case of the issuance book portion of the ADR Register, when reasonably requested by the Company solely in order to enable the Company to comply with applicable law; provided further, that the Depositary shall have no liability and shall be indemnified by the Company in such event.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190" w:lineRule="exact"/>
        <w:rPr>
          <w:rFonts w:ascii="Times New Roman" w:cs="Times New Roman" w:eastAsia="Times New Roman" w:hAnsi="Times New Roman"/>
          <w:sz w:val="18"/>
          <w:szCs w:val="18"/>
          <w:color w:val="auto"/>
        </w:rPr>
      </w:pPr>
    </w:p>
    <w:p>
      <w:pPr>
        <w:ind w:left="-40" w:right="400" w:firstLine="656"/>
        <w:spacing w:after="0" w:line="262" w:lineRule="auto"/>
        <w:tabs>
          <w:tab w:leader="none" w:pos="86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Certain Limitations to Registration, Transfer etc</w:t>
      </w:r>
      <w:r>
        <w:rPr>
          <w:rFonts w:ascii="Times New Roman" w:cs="Times New Roman" w:eastAsia="Times New Roman" w:hAnsi="Times New Roman"/>
          <w:sz w:val="18"/>
          <w:szCs w:val="18"/>
          <w:color w:val="auto"/>
        </w:rPr>
        <w:t>. Prior to the issue, registration, registration of transfer, split-up or combination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ADR, the delivery of any distribution in respect thereof,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withdrawal of any Deposited Securities, and from time to time in the case of clause (b)(ii) of this paragraph (4), the Company, the Depositary or the Custodian may require:</w:t>
      </w:r>
    </w:p>
    <w:p>
      <w:pPr>
        <w:spacing w:after="0" w:line="180" w:lineRule="exact"/>
        <w:rPr>
          <w:rFonts w:ascii="Times New Roman" w:cs="Times New Roman" w:eastAsia="Times New Roman" w:hAnsi="Times New Roman"/>
          <w:sz w:val="18"/>
          <w:szCs w:val="18"/>
          <w:color w:val="auto"/>
        </w:rPr>
      </w:pPr>
    </w:p>
    <w:p>
      <w:pPr>
        <w:jc w:val="both"/>
        <w:ind w:left="-40" w:right="80" w:firstLine="980"/>
        <w:spacing w:after="0" w:line="266" w:lineRule="auto"/>
        <w:tabs>
          <w:tab w:leader="none" w:pos="117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of this ADR;</w:t>
      </w:r>
    </w:p>
    <w:p>
      <w:pPr>
        <w:spacing w:after="0" w:line="175" w:lineRule="exact"/>
        <w:rPr>
          <w:rFonts w:ascii="Times New Roman" w:cs="Times New Roman" w:eastAsia="Times New Roman" w:hAnsi="Times New Roman"/>
          <w:sz w:val="18"/>
          <w:szCs w:val="18"/>
          <w:color w:val="auto"/>
        </w:rPr>
      </w:pPr>
    </w:p>
    <w:p>
      <w:pPr>
        <w:ind w:left="-40" w:right="120" w:firstLine="980"/>
        <w:spacing w:after="0" w:line="261" w:lineRule="auto"/>
        <w:tabs>
          <w:tab w:leader="none" w:pos="118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this ADR, as it may deem necessary or proper;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1170" w:right="359" w:bottom="1440" w:gutter="0" w:footer="0" w:header="0"/>
        </w:sectPr>
      </w:pPr>
    </w:p>
    <w:bookmarkStart w:id="32" w:name="page33"/>
    <w:bookmarkEnd w:id="3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(c) compliance with such regulations as the Depositary may establish consistent with the Deposit Agreement.</w:t>
      </w:r>
    </w:p>
    <w:p>
      <w:pPr>
        <w:spacing w:after="0" w:line="225"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issuance of ADRs, the acceptance of deposits of Shares, the registration, registration of transfer, split-up or combination of ADRs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withdrawal of Deposited Securities may be suspended, generally or in particular instances, when the ADR Register or any register for Deposited Securities is closed or when any such action is deemed advisable by the Depositary.</w:t>
      </w:r>
    </w:p>
    <w:p>
      <w:pPr>
        <w:spacing w:after="0" w:line="176" w:lineRule="exact"/>
        <w:rPr>
          <w:sz w:val="20"/>
          <w:szCs w:val="20"/>
          <w:color w:val="auto"/>
        </w:rPr>
      </w:pPr>
    </w:p>
    <w:p>
      <w:pPr>
        <w:ind w:firstLine="656"/>
        <w:spacing w:after="0" w:line="251" w:lineRule="auto"/>
        <w:tabs>
          <w:tab w:leader="none" w:pos="90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Liability of Holder or Beneficial Owner for Taxes, Duties and Other Charges</w:t>
      </w:r>
      <w:r>
        <w:rPr>
          <w:rFonts w:ascii="Times New Roman" w:cs="Times New Roman" w:eastAsia="Times New Roman" w:hAnsi="Times New Roman"/>
          <w:sz w:val="18"/>
          <w:szCs w:val="18"/>
          <w:color w:val="auto"/>
        </w:rPr>
        <w:t>. If any tax or other governmental charges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penalties and/or interest) shall become payable 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State Administration of Taxation of the People’s Republic of China or any other circular, edict, order or ruling, as issued and as from time to time amended, is applied or otherwise, such tax or other governmental charge shall be paid by the Holder hereof to the Depositary and by holding or owning, or having held or owned, this ADR or any ADSs evidenced hereby, the Holder and all Beneficial Owners hereof and thereof, and all prior Holders and Beneficial Owners hereof and thereof, jointly and severally, agree to indemnify, defend and save harmless each of the Depositary, the Company, and their respective agents in respect of such tax or other governmental charge. Neither the Depositary nor the Company, nor any of their respective agents, shall be liable to Holders or Beneficial Owners of the ADSs and ADRs for failure of any of them to comply with applicable tax laws, rules and/or regulations. Notwithstanding the Depositary’s right to seek payment from current and former Beneficial Owners, by holding or owning, or having held or owned, an ADR, the Holder hereof (and prior Holder hereof) acknowledges and agrees that the Depositary has no obligation to seek payment of amounts owing under this paragraph (5) from any current or former Beneficial Owner. The Depositary may refuse to effect any registration, registration of transfer, split-up or combination hereof or,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any withdrawal of such Deposited Securities until such payment is made. The Depositary may also deduct from any distributions on or in respect of Deposited Securities, or may sell by public or private sale for the account of the Holder hereof any part or all of such Deposited Securities (after attempting by reasonable means to notify the Holder hereof prior to such sale),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 To the extent not prohibited by law, rule or regulation, the Depositary will forward to the Company such information in its possession from its transfer records maintained by it in its capacity as Depositary under the Deposit Agreement as the Company may reasonably request in writing to enable the Company to file any required reports with governmental authorities or agencies; provided, however, for the avoidance of doubt, the Depositary shall have no liability for the accuracy of any such information and shall be indemnified by the Company in connection with the foregoing. 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 Each Holder and Beneficial Owner agrees to indemnify the Depositary, the Company, 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3" w:name="page34"/>
    <w:bookmarkEnd w:id="33"/>
    <w:p>
      <w:pPr>
        <w:ind w:left="912" w:hanging="264"/>
        <w:spacing w:after="0"/>
        <w:tabs>
          <w:tab w:leader="none" w:pos="912"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Disclosure of Interests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8" w:firstLine="8"/>
        <w:spacing w:after="0" w:line="254" w:lineRule="auto"/>
        <w:tabs>
          <w:tab w:leader="none" w:pos="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To the extent that the provisions of or governing any Deposited Securities may require disclosure of or impose limits on beneficial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ownership of, or interest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 The Company reserves the right to instruct Holders to deliver their ADSs for cancellation and withdrawal of the Deposited Securities so as to permit the Company to deal directly with the Holder thereof as a holder of Shares and Holders and Beneficial Owners agree to comply with such instructions. The Depositary agrees to cooperate with the Company in its efforts to inform Holders of the Company’s exercise of its rights under this paragraph and agrees to consult with, and provide reasonable assistance, in each case without risk, liability or expense on the part of the Depositary, to the Company on the manner or manners in which the Company may implement such requirements with respect to any Holder; provided, however, for the avoidance of doubt, the Depositary shall be indemnified by the Company in connection with the foregoing.</w:t>
      </w:r>
    </w:p>
    <w:p>
      <w:pPr>
        <w:spacing w:after="0" w:line="200" w:lineRule="exact"/>
        <w:rPr>
          <w:sz w:val="20"/>
          <w:szCs w:val="20"/>
          <w:color w:val="auto"/>
        </w:rPr>
      </w:pPr>
    </w:p>
    <w:p>
      <w:pPr>
        <w:spacing w:after="0" w:line="206"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92"/>
          </w:cols>
          <w:pgMar w:left="328" w:top="1170" w:right="379" w:bottom="1440" w:gutter="0" w:footer="0" w:header="0"/>
        </w:sectPr>
      </w:pPr>
    </w:p>
    <w:bookmarkStart w:id="34" w:name="page35"/>
    <w:bookmarkEnd w:id="34"/>
    <w:p>
      <w:pPr>
        <w:ind w:left="1240" w:hanging="260"/>
        <w:spacing w:after="0"/>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Jurisdiction Specific</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972"/>
        <w:spacing w:after="0" w:line="258" w:lineRule="auto"/>
        <w:rPr>
          <w:sz w:val="20"/>
          <w:szCs w:val="20"/>
          <w:color w:val="auto"/>
        </w:rPr>
      </w:pPr>
      <w:r>
        <w:rPr>
          <w:rFonts w:ascii="Times New Roman" w:cs="Times New Roman" w:eastAsia="Times New Roman" w:hAnsi="Times New Roman"/>
          <w:sz w:val="18"/>
          <w:szCs w:val="18"/>
          <w:color w:val="auto"/>
        </w:rPr>
        <w:t>Any summary of the laws and regulations of the Cayman Islands and of the terms of the Company’s constituent documents has been provided by the Company solely for the convenience of Holders, Beneficial Owners and the Depositary. Such summaries (i) are summaries and as such may not include all aspects of the materials summarized applicable to a Holder or Beneficial Owner, and (ii) they are provided by the Company as of the date of the Deposit Agreement and these laws and regulations and the Company’s constituent documents may change after the date of the Deposit Agreement. Neither the Depositary nor the Company has any obligation to update any such summaries.</w:t>
      </w:r>
    </w:p>
    <w:p>
      <w:pPr>
        <w:spacing w:after="0" w:line="179" w:lineRule="exact"/>
        <w:rPr>
          <w:sz w:val="20"/>
          <w:szCs w:val="20"/>
          <w:color w:val="auto"/>
        </w:rPr>
      </w:pPr>
    </w:p>
    <w:p>
      <w:pPr>
        <w:ind w:left="920" w:hanging="264"/>
        <w:spacing w:after="0"/>
        <w:tabs>
          <w:tab w:leader="none" w:pos="9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Charges of Depositary</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20" w:firstLine="980"/>
        <w:spacing w:after="0" w:line="255" w:lineRule="auto"/>
        <w:tabs>
          <w:tab w:leader="none" w:pos="1216"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the Depositary</w:t>
      </w:r>
      <w:r>
        <w:rPr>
          <w:rFonts w:ascii="Times New Roman" w:cs="Times New Roman" w:eastAsia="Times New Roman" w:hAnsi="Times New Roman"/>
          <w:sz w:val="18"/>
          <w:szCs w:val="18"/>
          <w:color w:val="auto"/>
        </w:rPr>
        <w:t>. The Depositary may charge, and collect from, (i) each person to whom ADSs are issued, including,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limitation, issuances against deposits of Shares, issuances in respect of Share Distributions, Rights and Other Distributions (as such terms are defined in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72" w:right="379" w:bottom="1440" w:gutter="0" w:footer="0" w:header="0"/>
        </w:sectPr>
      </w:pPr>
    </w:p>
    <w:bookmarkStart w:id="35" w:name="page36"/>
    <w:bookmarkEnd w:id="35"/>
    <w:p>
      <w:pPr>
        <w:jc w:val="both"/>
        <w:ind w:left="-20" w:right="160" w:firstLine="980"/>
        <w:spacing w:after="0" w:line="261" w:lineRule="auto"/>
        <w:tabs>
          <w:tab w:leader="none" w:pos="120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Additional charges by the Depositary</w:t>
      </w:r>
      <w:r>
        <w:rPr>
          <w:rFonts w:ascii="Times New Roman" w:cs="Times New Roman" w:eastAsia="Times New Roman" w:hAnsi="Times New Roman"/>
          <w:sz w:val="18"/>
          <w:szCs w:val="18"/>
          <w:color w:val="auto"/>
        </w:rPr>
        <w:t>. The following additional charges shall also be incurred by the Holders, the Beneficial Owners,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Times New Roman" w:cs="Times New Roman" w:eastAsia="Times New Roman" w:hAnsi="Times New Roman"/>
          <w:sz w:val="18"/>
          <w:szCs w:val="18"/>
          <w:i w:val="1"/>
          <w:iCs w:val="1"/>
          <w:color w:val="auto"/>
        </w:rPr>
        <w:t>Distributions on Deposited Securities</w:t>
      </w:r>
      <w:r>
        <w:rPr>
          <w:rFonts w:ascii="Times New Roman" w:cs="Times New Roman" w:eastAsia="Times New Roman" w:hAnsi="Times New Roman"/>
          <w:sz w:val="18"/>
          <w:szCs w:val="18"/>
          <w:color w:val="auto"/>
        </w:rPr>
        <w:t>)), whichever is applicable:</w:t>
      </w:r>
    </w:p>
    <w:p>
      <w:pPr>
        <w:spacing w:after="0" w:line="182" w:lineRule="exact"/>
        <w:rPr>
          <w:sz w:val="20"/>
          <w:szCs w:val="20"/>
          <w:color w:val="auto"/>
        </w:rPr>
      </w:pPr>
    </w:p>
    <w:p>
      <w:pPr>
        <w:ind w:left="1280" w:right="220" w:hanging="320"/>
        <w:spacing w:after="0" w:line="282" w:lineRule="auto"/>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U.S.$0.05 or less per ADS held for any Cash distribution made, or for any elective cash/stock dividend offered, pursuant to the Deposit Agreement,</w:t>
      </w:r>
    </w:p>
    <w:p>
      <w:pPr>
        <w:spacing w:after="0" w:line="161" w:lineRule="exact"/>
        <w:rPr>
          <w:rFonts w:ascii="Times New Roman" w:cs="Times New Roman" w:eastAsia="Times New Roman" w:hAnsi="Times New Roman"/>
          <w:sz w:val="18"/>
          <w:szCs w:val="18"/>
          <w:color w:val="auto"/>
        </w:rPr>
      </w:pPr>
    </w:p>
    <w:p>
      <w:pPr>
        <w:ind w:left="1280" w:right="260" w:hanging="320"/>
        <w:spacing w:after="0" w:line="261" w:lineRule="auto"/>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distribution or sale of securities pursuant to paragraph (10) hereof, such fee being in an amount equal to the fee for the execution and delivery of ADSs referred to above which would have been charged as a result of the deposit of such securities (for purposes of this paragraph (7) treating all such securities as if they were Shares) but which securities or the net cash proceeds from the sale thereof are instead distributed by the Depositary to Holders entitled thereto,</w:t>
      </w:r>
    </w:p>
    <w:p>
      <w:pPr>
        <w:spacing w:after="0" w:line="179" w:lineRule="exact"/>
        <w:rPr>
          <w:rFonts w:ascii="Times New Roman" w:cs="Times New Roman" w:eastAsia="Times New Roman" w:hAnsi="Times New Roman"/>
          <w:sz w:val="18"/>
          <w:szCs w:val="18"/>
          <w:color w:val="auto"/>
        </w:rPr>
      </w:pPr>
    </w:p>
    <w:p>
      <w:pPr>
        <w:ind w:left="1280" w:right="180" w:hanging="320"/>
        <w:spacing w:after="0" w:line="281" w:lineRule="auto"/>
        <w:tabs>
          <w:tab w:leader="none" w:pos="12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aggregate fee of U.S.$0.05 or less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w:t>
      </w:r>
    </w:p>
    <w:p>
      <w:pPr>
        <w:spacing w:after="0" w:line="164" w:lineRule="exact"/>
        <w:rPr>
          <w:rFonts w:ascii="Times New Roman" w:cs="Times New Roman" w:eastAsia="Times New Roman" w:hAnsi="Times New Roman"/>
          <w:sz w:val="17"/>
          <w:szCs w:val="17"/>
          <w:color w:val="auto"/>
        </w:rPr>
      </w:pPr>
    </w:p>
    <w:p>
      <w:pPr>
        <w:ind w:left="1280" w:hanging="320"/>
        <w:spacing w:after="0" w:line="254" w:lineRule="auto"/>
        <w:tabs>
          <w:tab w:leader="none" w:pos="12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72" w:right="339" w:bottom="1440" w:gutter="0" w:footer="0" w:header="0"/>
        </w:sectPr>
      </w:pPr>
    </w:p>
    <w:bookmarkStart w:id="36" w:name="page37"/>
    <w:bookmarkEnd w:id="36"/>
    <w:p>
      <w:pPr>
        <w:ind w:right="120" w:firstLine="980"/>
        <w:spacing w:after="0" w:line="284" w:lineRule="auto"/>
        <w:tabs>
          <w:tab w:leader="none" w:pos="12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Other Obligations and Charges</w:t>
      </w:r>
      <w:r>
        <w:rPr>
          <w:rFonts w:ascii="Times New Roman" w:cs="Times New Roman" w:eastAsia="Times New Roman" w:hAnsi="Times New Roman"/>
          <w:sz w:val="18"/>
          <w:szCs w:val="18"/>
          <w:color w:val="auto"/>
        </w:rPr>
        <w:t>. The Company will pay all other charges and expenses of the Depositary and any agent of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the Custodian) pursuant to agreements from time to time between the Company and the Depositary, except:</w:t>
      </w:r>
    </w:p>
    <w:p>
      <w:pPr>
        <w:spacing w:after="0" w:line="160" w:lineRule="exact"/>
        <w:rPr>
          <w:sz w:val="20"/>
          <w:szCs w:val="20"/>
          <w:color w:val="auto"/>
        </w:rPr>
      </w:pPr>
    </w:p>
    <w:p>
      <w:pPr>
        <w:ind w:left="1300" w:hanging="320"/>
        <w:spacing w:after="0"/>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transfer or other taxes and other governmental charges (which are payable by Holders or persons depositing Shares);</w:t>
      </w:r>
    </w:p>
    <w:p>
      <w:pPr>
        <w:spacing w:after="0" w:line="225" w:lineRule="exact"/>
        <w:rPr>
          <w:rFonts w:ascii="Times New Roman" w:cs="Times New Roman" w:eastAsia="Times New Roman" w:hAnsi="Times New Roman"/>
          <w:sz w:val="18"/>
          <w:szCs w:val="18"/>
          <w:color w:val="auto"/>
        </w:rPr>
      </w:pPr>
    </w:p>
    <w:p>
      <w:pPr>
        <w:ind w:left="1300" w:right="120" w:hanging="320"/>
        <w:spacing w:after="0" w:line="282"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cable, telex and facsimile transmission and delivery charges incurred at the request of persons depositing, or Holders delivering Shares, ADRs or Deposited Securities (which are payable by such persons or Holders); and</w:t>
      </w:r>
    </w:p>
    <w:p>
      <w:pPr>
        <w:spacing w:after="0" w:line="161" w:lineRule="exact"/>
        <w:rPr>
          <w:rFonts w:ascii="Times New Roman" w:cs="Times New Roman" w:eastAsia="Times New Roman" w:hAnsi="Times New Roman"/>
          <w:sz w:val="18"/>
          <w:szCs w:val="18"/>
          <w:color w:val="auto"/>
        </w:rPr>
      </w:pPr>
    </w:p>
    <w:p>
      <w:pPr>
        <w:jc w:val="both"/>
        <w:ind w:left="1300" w:right="520" w:hanging="320"/>
        <w:spacing w:after="0" w:line="266" w:lineRule="auto"/>
        <w:tabs>
          <w:tab w:leader="none" w:pos="13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registration fees for the registration or transfer of Deposited Securities on any applicable register in connection with the deposit or withdrawal of Deposited Securities (which are payable by persons depositing Shares or Holders withdrawing Deposited Securities; there are no such fees in respect of the Shares as of the date of the Deposit Agreement.</w:t>
      </w:r>
    </w:p>
    <w:p>
      <w:pPr>
        <w:spacing w:after="0" w:line="174" w:lineRule="exact"/>
        <w:rPr>
          <w:sz w:val="20"/>
          <w:szCs w:val="20"/>
          <w:color w:val="auto"/>
        </w:rPr>
      </w:pPr>
    </w:p>
    <w:p>
      <w:pPr>
        <w:ind w:firstLine="980"/>
        <w:spacing w:after="0" w:line="257" w:lineRule="auto"/>
        <w:tabs>
          <w:tab w:leader="none" w:pos="122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Foreign Exchange Related Matters</w:t>
      </w:r>
      <w:r>
        <w:rPr>
          <w:rFonts w:ascii="Times New Roman" w:cs="Times New Roman" w:eastAsia="Times New Roman" w:hAnsi="Times New Roman"/>
          <w:sz w:val="18"/>
          <w:szCs w:val="18"/>
          <w:color w:val="auto"/>
        </w:rPr>
        <w:t>. To facilitate the administration of various depositary receipt transactions, including disbursement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or other cash distributions and other corporate actions, the Depositary may engage the foreign exchange desk within JPMorgan Chase Bank, N.A. (the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and/or its affiliates in order to enter into spot foreign exchange transactions to convert foreign currency into U.S. dollars (“</w:t>
      </w:r>
      <w:r>
        <w:rPr>
          <w:rFonts w:ascii="Times New Roman" w:cs="Times New Roman" w:eastAsia="Times New Roman" w:hAnsi="Times New Roman"/>
          <w:sz w:val="18"/>
          <w:szCs w:val="18"/>
          <w:b w:val="1"/>
          <w:bCs w:val="1"/>
          <w:color w:val="auto"/>
        </w:rPr>
        <w:t>FX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For certain currencies, FX Transactions are entered into with the Bank or an affiliate, as the case may be, acting in a principal capacity.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currencies, FX Transactions are routed directly to and managed by an unaffiliated local custodian (or other third party local liquidity provider), and neither the Bank nor any of its affiliates is a party to such FX Transactions.</w:t>
      </w:r>
    </w:p>
    <w:p>
      <w:pPr>
        <w:spacing w:after="0" w:line="184" w:lineRule="exact"/>
        <w:rPr>
          <w:sz w:val="20"/>
          <w:szCs w:val="20"/>
          <w:color w:val="auto"/>
        </w:rPr>
      </w:pPr>
    </w:p>
    <w:p>
      <w:pPr>
        <w:ind w:right="20" w:firstLine="972"/>
        <w:spacing w:after="0" w:line="253" w:lineRule="auto"/>
        <w:rPr>
          <w:sz w:val="20"/>
          <w:szCs w:val="20"/>
          <w:color w:val="auto"/>
        </w:rPr>
      </w:pPr>
      <w:r>
        <w:rPr>
          <w:rFonts w:ascii="Times New Roman" w:cs="Times New Roman" w:eastAsia="Times New Roman" w:hAnsi="Times New Roman"/>
          <w:sz w:val="18"/>
          <w:szCs w:val="18"/>
          <w:color w:val="auto"/>
        </w:rPr>
        <w:t>The foreign exchange rate applied to an FX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“Disclosures” page (or successor page) of www.adr.com (as updated by the Depositary from time to time, “</w:t>
      </w:r>
      <w:r>
        <w:rPr>
          <w:rFonts w:ascii="Times New Roman" w:cs="Times New Roman" w:eastAsia="Times New Roman" w:hAnsi="Times New Roman"/>
          <w:sz w:val="18"/>
          <w:szCs w:val="18"/>
          <w:b w:val="1"/>
          <w:bCs w:val="1"/>
          <w:color w:val="auto"/>
        </w:rPr>
        <w:t>ADR.com</w:t>
      </w:r>
      <w:r>
        <w:rPr>
          <w:rFonts w:ascii="Times New Roman" w:cs="Times New Roman" w:eastAsia="Times New Roman" w:hAnsi="Times New Roman"/>
          <w:sz w:val="18"/>
          <w:szCs w:val="18"/>
          <w:color w:val="auto"/>
        </w:rPr>
        <w:t>”).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The spread applied does not reflect any gains or losses that may be earned or incurred by the Bank and its affiliates as a result of risk management or other hedging related activity.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sectPr>
      </w:pPr>
    </w:p>
    <w:bookmarkStart w:id="37" w:name="page38"/>
    <w:bookmarkEnd w:id="37"/>
    <w:p>
      <w:pPr>
        <w:ind w:right="260" w:firstLine="972"/>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Notwithstanding the foregoing, to the extent the Company provides U.S. dollars to the Depositary, neither the Bank nor any of its affiliates will execute an FX Transaction as set forth herein. In such case, the Depositary will distribute the U.S. dollars received from the Company.</w:t>
      </w:r>
    </w:p>
    <w:p>
      <w:pPr>
        <w:spacing w:after="0" w:line="162" w:lineRule="exact"/>
        <w:rPr>
          <w:sz w:val="20"/>
          <w:szCs w:val="20"/>
          <w:color w:val="auto"/>
        </w:rPr>
      </w:pPr>
    </w:p>
    <w:p>
      <w:pPr>
        <w:jc w:val="both"/>
        <w:ind w:right="140" w:firstLine="992"/>
        <w:spacing w:after="0" w:line="266" w:lineRule="auto"/>
        <w:rPr>
          <w:sz w:val="20"/>
          <w:szCs w:val="20"/>
          <w:color w:val="auto"/>
        </w:rPr>
      </w:pPr>
      <w:r>
        <w:rPr>
          <w:rFonts w:ascii="Times New Roman" w:cs="Times New Roman" w:eastAsia="Times New Roman" w:hAnsi="Times New Roman"/>
          <w:sz w:val="18"/>
          <w:szCs w:val="18"/>
          <w:color w:val="auto"/>
        </w:rPr>
        <w:t>Further details relating to the applicable foreign exchange rate, the applicable spread and the execution of FX Transactions will be provided by the Depositary on ADR.com. The Company, Holders and Beneficial Owners each acknowledge and agree that the terms applicable to FX Transactions disclosed from time to time on ADR.com will apply to any FX Transaction executed pursuant to the Deposit Agreement.</w:t>
      </w:r>
    </w:p>
    <w:p>
      <w:pPr>
        <w:spacing w:after="0" w:line="176" w:lineRule="exact"/>
        <w:rPr>
          <w:sz w:val="20"/>
          <w:szCs w:val="20"/>
          <w:color w:val="auto"/>
        </w:rPr>
      </w:pPr>
    </w:p>
    <w:p>
      <w:pPr>
        <w:ind w:right="60" w:firstLine="980"/>
        <w:spacing w:after="0" w:line="266" w:lineRule="auto"/>
        <w:tabs>
          <w:tab w:leader="none" w:pos="121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Depositary to receive payment of fees, charges and expenses as provided above shall survive the termination of the Deposit Agreement. As to any Depositary, upon the resignation or removal of such Depositary, such right shall extend for those fees, charges and expenses incurred prior to the effectiveness of such resignation or removal.</w:t>
      </w:r>
    </w:p>
    <w:p>
      <w:pPr>
        <w:spacing w:after="0" w:line="173" w:lineRule="exact"/>
        <w:rPr>
          <w:rFonts w:ascii="Times New Roman" w:cs="Times New Roman" w:eastAsia="Times New Roman" w:hAnsi="Times New Roman"/>
          <w:sz w:val="18"/>
          <w:szCs w:val="18"/>
          <w:color w:val="auto"/>
        </w:rPr>
      </w:pPr>
    </w:p>
    <w:p>
      <w:pPr>
        <w:jc w:val="both"/>
        <w:ind w:firstLine="980"/>
        <w:spacing w:after="0" w:line="261" w:lineRule="auto"/>
        <w:tabs>
          <w:tab w:leader="none" w:pos="119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of Potential Depositary Payments</w:t>
      </w:r>
      <w:r>
        <w:rPr>
          <w:rFonts w:ascii="Times New Roman" w:cs="Times New Roman" w:eastAsia="Times New Roman" w:hAnsi="Times New Roman"/>
          <w:sz w:val="18"/>
          <w:szCs w:val="18"/>
          <w:color w:val="auto"/>
        </w:rPr>
        <w:t>. The Depositary anticipates reimbursing the Company for certain expenses incurred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38" w:name="page39"/>
    <w:bookmarkEnd w:id="38"/>
    <w:p>
      <w:pPr>
        <w:ind w:firstLine="656"/>
        <w:spacing w:after="0" w:line="255" w:lineRule="auto"/>
        <w:tabs>
          <w:tab w:leader="none" w:pos="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Available Information</w:t>
      </w:r>
      <w:r>
        <w:rPr>
          <w:rFonts w:ascii="Times New Roman" w:cs="Times New Roman" w:eastAsia="Times New Roman" w:hAnsi="Times New Roman"/>
          <w:sz w:val="18"/>
          <w:szCs w:val="18"/>
          <w:color w:val="auto"/>
        </w:rPr>
        <w:t>. The Deposit Agreement, the provisions of or governing Deposited Securities and any written communications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which are both received by the Custodian or its nominee as a holder of Deposited Securities and made generally available to the holders of Deposited Securities, are available for inspection by Holders at the offices of the Depositary and the Custodian, at the Transfer Office, on the website of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or upon request from the Depositary (which request may be refused by the Depositary at its discretion). The Depositary will distribute copies of such communications (or English translations or summaries thereof) to Holders when furnished by the Company. The Company is subject to the periodic reporting requirements of the Securities Exchange Act of 1934 and accordingly files certain reports with the Commission. Such reports and other information may be inspected and copied through the Commission’s EDGAR system or at public reference facilities maintained by the Commission located at the date hereof at 100 F Street, NE, Washington, DC 20549.</w:t>
      </w:r>
    </w:p>
    <w:p>
      <w:pPr>
        <w:spacing w:after="0" w:line="184" w:lineRule="exact"/>
        <w:rPr>
          <w:rFonts w:ascii="Times New Roman" w:cs="Times New Roman" w:eastAsia="Times New Roman" w:hAnsi="Times New Roman"/>
          <w:sz w:val="18"/>
          <w:szCs w:val="18"/>
          <w:color w:val="auto"/>
        </w:rPr>
      </w:pPr>
    </w:p>
    <w:p>
      <w:pPr>
        <w:ind w:right="380" w:firstLine="656"/>
        <w:spacing w:after="0" w:line="286" w:lineRule="auto"/>
        <w:tabs>
          <w:tab w:leader="none" w:pos="903"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Execution</w:t>
      </w:r>
      <w:r>
        <w:rPr>
          <w:rFonts w:ascii="Times New Roman" w:cs="Times New Roman" w:eastAsia="Times New Roman" w:hAnsi="Times New Roman"/>
          <w:sz w:val="18"/>
          <w:szCs w:val="18"/>
          <w:color w:val="auto"/>
        </w:rPr>
        <w:t>. This ADR shall not be valid for any purpose unless executed by the Depositary by the manual or facsimile signature of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of the Depositary.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JPMORGAN CHASE BANK, N.A., as Depositary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Lisa M.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Depositary’s office is located at 383 Madison Avenue, Floor 11, New York, New York 10179.</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39" w:name="page40"/>
    <w:bookmarkEnd w:id="39"/>
    <w:p>
      <w:pPr>
        <w:jc w:val="center"/>
        <w:ind w:right="-11"/>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[FORM OF REVERSE OF ADR]</w:t>
      </w:r>
    </w:p>
    <w:p>
      <w:pPr>
        <w:spacing w:after="0" w:line="221" w:lineRule="exact"/>
        <w:rPr>
          <w:sz w:val="20"/>
          <w:szCs w:val="20"/>
          <w:color w:val="auto"/>
        </w:rPr>
      </w:pPr>
    </w:p>
    <w:p>
      <w:pPr>
        <w:ind w:left="-8" w:firstLine="656"/>
        <w:spacing w:after="0" w:line="262" w:lineRule="auto"/>
        <w:tabs>
          <w:tab w:leader="none" w:pos="98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Distributions on Deposited Securities</w:t>
      </w:r>
      <w:r>
        <w:rPr>
          <w:rFonts w:ascii="Times New Roman" w:cs="Times New Roman" w:eastAsia="Times New Roman" w:hAnsi="Times New Roman"/>
          <w:sz w:val="18"/>
          <w:szCs w:val="18"/>
          <w:color w:val="auto"/>
        </w:rPr>
        <w:t>. 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color w:val="auto"/>
        </w:rPr>
        <w:t>) and (5) (</w:t>
      </w:r>
      <w:r>
        <w:rPr>
          <w:rFonts w:ascii="Times New Roman" w:cs="Times New Roman" w:eastAsia="Times New Roman" w:hAnsi="Times New Roman"/>
          <w:sz w:val="18"/>
          <w:szCs w:val="18"/>
          <w:i w:val="1"/>
          <w:iCs w:val="1"/>
          <w:color w:val="auto"/>
        </w:rPr>
        <w:t>Liability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Holder or Beneficial Owner for Taxes, Duties and other Charges</w:t>
      </w:r>
      <w:r>
        <w:rPr>
          <w:rFonts w:ascii="Times New Roman" w:cs="Times New Roman" w:eastAsia="Times New Roman" w:hAnsi="Times New Roman"/>
          <w:sz w:val="18"/>
          <w:szCs w:val="18"/>
          <w:color w:val="auto"/>
        </w:rPr>
        <w:t>), to the extent practicable, the Depositary will distribute to each Holder entitled thereto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78" w:lineRule="exact"/>
        <w:rPr>
          <w:rFonts w:ascii="Times New Roman" w:cs="Times New Roman" w:eastAsia="Times New Roman" w:hAnsi="Times New Roman"/>
          <w:sz w:val="18"/>
          <w:szCs w:val="18"/>
          <w:color w:val="auto"/>
        </w:rPr>
      </w:pPr>
    </w:p>
    <w:p>
      <w:pPr>
        <w:ind w:left="-8" w:right="80" w:firstLine="980"/>
        <w:spacing w:after="0" w:line="254" w:lineRule="auto"/>
        <w:tabs>
          <w:tab w:leader="none" w:pos="1208"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Any U.S. dollars available to the Depositary resulting from a cash dividend or other cash distribution or the net proceeds of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other distribution or portion thereof authorized in this paragraph (10)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on an averaged or other practicable basis, subject to (i) appropriate adjustments for taxes withheld, (ii) such distribution being impermissible or impracticable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w:t>
      </w:r>
    </w:p>
    <w:p>
      <w:pPr>
        <w:spacing w:after="0" w:line="1" w:lineRule="exact"/>
        <w:rPr>
          <w:rFonts w:ascii="Times New Roman" w:cs="Times New Roman" w:eastAsia="Times New Roman" w:hAnsi="Times New Roman"/>
          <w:sz w:val="18"/>
          <w:szCs w:val="18"/>
          <w:color w:val="auto"/>
        </w:rPr>
      </w:pPr>
    </w:p>
    <w:p>
      <w:pPr>
        <w:ind w:left="-8" w:right="200" w:firstLine="8"/>
        <w:spacing w:after="0" w:line="260" w:lineRule="auto"/>
        <w:tabs>
          <w:tab w:leader="none" w:pos="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179" w:lineRule="exact"/>
        <w:rPr>
          <w:rFonts w:ascii="Times New Roman" w:cs="Times New Roman" w:eastAsia="Times New Roman" w:hAnsi="Times New Roman"/>
          <w:sz w:val="18"/>
          <w:szCs w:val="18"/>
          <w:color w:val="auto"/>
        </w:rPr>
      </w:pPr>
    </w:p>
    <w:p>
      <w:pPr>
        <w:ind w:left="-8" w:right="20" w:firstLine="980"/>
        <w:spacing w:after="0" w:line="261" w:lineRule="auto"/>
        <w:tabs>
          <w:tab w:leader="none" w:pos="1219"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(i) Additional ADRs evidencing whole ADSs representing any Shares available to the Depositary resulting from a dividend or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on Deposited Securities consisting of Shares (a “</w:t>
      </w:r>
      <w:r>
        <w:rPr>
          <w:rFonts w:ascii="Times New Roman" w:cs="Times New Roman" w:eastAsia="Times New Roman" w:hAnsi="Times New Roman"/>
          <w:sz w:val="18"/>
          <w:szCs w:val="18"/>
          <w:b w:val="1"/>
          <w:bCs w:val="1"/>
          <w:color w:val="auto"/>
        </w:rPr>
        <w:t>Share Distribution</w:t>
      </w:r>
      <w:r>
        <w:rPr>
          <w:rFonts w:ascii="Times New Roman" w:cs="Times New Roman" w:eastAsia="Times New Roman" w:hAnsi="Times New Roman"/>
          <w:sz w:val="18"/>
          <w:szCs w:val="18"/>
          <w:color w:val="auto"/>
        </w:rPr>
        <w:t>”) and (ii) U.S. dollars available to it resulting from the net proceeds of sales of Shares received in a Share Distribution, which Shares would give rise to fractional ADSs if additional ADRs were issued therefor, as in the case of Cash.</w:t>
      </w:r>
    </w:p>
    <w:p>
      <w:pPr>
        <w:spacing w:after="0" w:line="179" w:lineRule="exact"/>
        <w:rPr>
          <w:rFonts w:ascii="Times New Roman" w:cs="Times New Roman" w:eastAsia="Times New Roman" w:hAnsi="Times New Roman"/>
          <w:sz w:val="18"/>
          <w:szCs w:val="18"/>
          <w:color w:val="auto"/>
        </w:rPr>
      </w:pPr>
    </w:p>
    <w:p>
      <w:pPr>
        <w:ind w:left="-8" w:right="60" w:firstLine="980"/>
        <w:spacing w:after="0" w:line="256" w:lineRule="auto"/>
        <w:tabs>
          <w:tab w:leader="none" w:pos="120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(i) Warrants or other instruments in the discretion of the Depositary representing rights to acquire additional ADRs in respect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rights to subscribe for additional Shares or rights of any nature available to the Depositary as a result of a distribution on Deposited Securities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sales of Rights as in the case of Cash, or (iii) to the extent the Company does not so furnish such evidence and such sales cannot practicably be accomplished by reason of the nontransferability of the Rights, limited markets therefor, their short duration or otherwise, nothing (and any Rights may lapse).</w:t>
      </w:r>
    </w:p>
    <w:p>
      <w:pPr>
        <w:spacing w:after="0" w:line="200" w:lineRule="exact"/>
        <w:rPr>
          <w:sz w:val="20"/>
          <w:szCs w:val="20"/>
          <w:color w:val="auto"/>
        </w:rPr>
      </w:pPr>
    </w:p>
    <w:p>
      <w:pPr>
        <w:spacing w:after="0" w:line="20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12"/>
          </w:cols>
          <w:pgMar w:left="328" w:top="1174" w:right="359" w:bottom="1440" w:gutter="0" w:footer="0" w:header="0"/>
        </w:sectPr>
      </w:pPr>
    </w:p>
    <w:bookmarkStart w:id="40" w:name="page41"/>
    <w:bookmarkEnd w:id="40"/>
    <w:p>
      <w:pPr>
        <w:jc w:val="both"/>
        <w:ind w:firstLine="980"/>
        <w:spacing w:after="0" w:line="261" w:lineRule="auto"/>
        <w:tabs>
          <w:tab w:leader="none" w:pos="122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Other Distributions</w:t>
      </w:r>
      <w:r>
        <w:rPr>
          <w:rFonts w:ascii="Times New Roman" w:cs="Times New Roman" w:eastAsia="Times New Roman" w:hAnsi="Times New Roman"/>
          <w:sz w:val="18"/>
          <w:szCs w:val="18"/>
          <w:color w:val="auto"/>
        </w:rPr>
        <w:t>. (i) Securities or property available to the Depositary resulting from any distribution on Deposited Securities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Cash, Share Distributions and Rights (“</w:t>
      </w:r>
      <w:r>
        <w:rPr>
          <w:rFonts w:ascii="Times New Roman" w:cs="Times New Roman" w:eastAsia="Times New Roman" w:hAnsi="Times New Roman"/>
          <w:sz w:val="18"/>
          <w:szCs w:val="18"/>
          <w:b w:val="1"/>
          <w:bCs w:val="1"/>
          <w:color w:val="auto"/>
        </w:rPr>
        <w:t>Other Distributions</w:t>
      </w:r>
      <w:r>
        <w:rPr>
          <w:rFonts w:ascii="Times New Roman" w:cs="Times New Roman" w:eastAsia="Times New Roman" w:hAnsi="Times New Roman"/>
          <w:sz w:val="18"/>
          <w:szCs w:val="18"/>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sales of Other Distributions as in the case of Cash.</w:t>
      </w:r>
    </w:p>
    <w:p>
      <w:pPr>
        <w:spacing w:after="0" w:line="182" w:lineRule="exact"/>
        <w:rPr>
          <w:sz w:val="20"/>
          <w:szCs w:val="20"/>
          <w:color w:val="auto"/>
        </w:rPr>
      </w:pPr>
    </w:p>
    <w:p>
      <w:pPr>
        <w:ind w:right="20" w:firstLine="972"/>
        <w:spacing w:after="0" w:line="255" w:lineRule="auto"/>
        <w:rPr>
          <w:sz w:val="20"/>
          <w:szCs w:val="20"/>
          <w:color w:val="auto"/>
        </w:rPr>
      </w:pPr>
      <w:r>
        <w:rPr>
          <w:rFonts w:ascii="Times New Roman" w:cs="Times New Roman" w:eastAsia="Times New Roman" w:hAnsi="Times New Roman"/>
          <w:sz w:val="18"/>
          <w:szCs w:val="18"/>
          <w:color w:val="auto"/>
        </w:rPr>
        <w:t>The Depositary reserves the right to utilize a division, branch or affiliate of JPMorgan Chase Bank, N.A. to direct, manage and/or execute any public and/or private sale of securities hereunder. Such division, branch and/or affiliate may charge the Depositary a fee in connection with such sales, which fee is considered an expense of the Depositary contemplated above and/or under paragraph (7) (</w:t>
      </w:r>
      <w:r>
        <w:rPr>
          <w:rFonts w:ascii="Times New Roman" w:cs="Times New Roman" w:eastAsia="Times New Roman" w:hAnsi="Times New Roman"/>
          <w:sz w:val="18"/>
          <w:szCs w:val="18"/>
          <w:i w:val="1"/>
          <w:iCs w:val="1"/>
          <w:color w:val="auto"/>
        </w:rPr>
        <w:t>Charges of Depositary</w:t>
      </w:r>
      <w:r>
        <w:rPr>
          <w:rFonts w:ascii="Times New Roman" w:cs="Times New Roman" w:eastAsia="Times New Roman" w:hAnsi="Times New Roman"/>
          <w:sz w:val="18"/>
          <w:szCs w:val="18"/>
          <w:color w:val="auto"/>
        </w:rPr>
        <w:t>). Any U.S. dollars available will be distributed by checks drawn on a bank in the United States for whole dollars and cents. Fractional cents will be withheld without liability and dealt with by the Depositary in accordance with its then current practices. All purchases and sales of securities will be handled by the Depositary in accordance with its then current policies, which are currently set forth on the “Disclosures” page (or successor page) of ADR.com, the location and contents of which the Depositary shall be solely responsible for.</w:t>
      </w:r>
    </w:p>
    <w:p>
      <w:pPr>
        <w:spacing w:after="0" w:line="185" w:lineRule="exact"/>
        <w:rPr>
          <w:sz w:val="20"/>
          <w:szCs w:val="20"/>
          <w:color w:val="auto"/>
        </w:rPr>
      </w:pPr>
    </w:p>
    <w:p>
      <w:pPr>
        <w:ind w:right="140" w:firstLine="656"/>
        <w:spacing w:after="0" w:line="259" w:lineRule="auto"/>
        <w:tabs>
          <w:tab w:leader="none" w:pos="9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Dates</w:t>
      </w:r>
      <w:r>
        <w:rPr>
          <w:rFonts w:ascii="Times New Roman" w:cs="Times New Roman" w:eastAsia="Times New Roman" w:hAnsi="Times New Roman"/>
          <w:sz w:val="18"/>
          <w:szCs w:val="18"/>
          <w:color w:val="auto"/>
        </w:rPr>
        <w:t>. The Depositary may, after consultation with the Company if practicable, fix a record date (which, to the extent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in respect of other matters and only such Holders shall be so entitled or obligated.</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sectPr>
      </w:pPr>
    </w:p>
    <w:bookmarkStart w:id="41" w:name="page42"/>
    <w:bookmarkEnd w:id="41"/>
    <w:p>
      <w:pPr>
        <w:ind w:left="992" w:hanging="344"/>
        <w:spacing w:after="0"/>
        <w:tabs>
          <w:tab w:leader="none" w:pos="99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Voting of Deposited Securities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8" w:right="60" w:firstLine="980"/>
        <w:spacing w:after="0" w:line="271" w:lineRule="auto"/>
        <w:tabs>
          <w:tab w:leader="none" w:pos="1209" w:val="left"/>
        </w:tabs>
        <w:numPr>
          <w:ilvl w:val="2"/>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Notice of any Meeting or Solicitation</w:t>
      </w:r>
      <w:r>
        <w:rPr>
          <w:rFonts w:ascii="Times New Roman" w:cs="Times New Roman" w:eastAsia="Times New Roman" w:hAnsi="Times New Roman"/>
          <w:sz w:val="17"/>
          <w:szCs w:val="17"/>
          <w:color w:val="auto"/>
        </w:rPr>
        <w:t>. As soon as practicable after receipt of notice of any meeting at which the holders of Shares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entitled to vote, or of solicitation of consents or proxies from holders of Shares or other Deposited Securities, the Depositary shall fix the ADS record date in accordance with paragraph (11) above provided that if the Depositary receives a written request from the Company in a timely manner and at least 30 days prior to the date of such vote or meeting, the Depositary shall, at the Company’s expense, distribute to Holders a notice (the “</w:t>
      </w:r>
      <w:r>
        <w:rPr>
          <w:rFonts w:ascii="Times New Roman" w:cs="Times New Roman" w:eastAsia="Times New Roman" w:hAnsi="Times New Roman"/>
          <w:sz w:val="17"/>
          <w:szCs w:val="17"/>
          <w:b w:val="1"/>
          <w:bCs w:val="1"/>
          <w:color w:val="auto"/>
        </w:rPr>
        <w:t>Voting Notice</w:t>
      </w:r>
      <w:r>
        <w:rPr>
          <w:rFonts w:ascii="Times New Roman" w:cs="Times New Roman" w:eastAsia="Times New Roman" w:hAnsi="Times New Roman"/>
          <w:sz w:val="17"/>
          <w:szCs w:val="17"/>
          <w:color w:val="auto"/>
        </w:rPr>
        <w:t>”) stating</w:t>
      </w:r>
    </w:p>
    <w:p>
      <w:pPr>
        <w:spacing w:after="0" w:line="1" w:lineRule="exact"/>
        <w:rPr>
          <w:rFonts w:ascii="Times New Roman" w:cs="Times New Roman" w:eastAsia="Times New Roman" w:hAnsi="Times New Roman"/>
          <w:sz w:val="17"/>
          <w:szCs w:val="17"/>
          <w:color w:val="auto"/>
        </w:rPr>
      </w:pPr>
    </w:p>
    <w:p>
      <w:pPr>
        <w:ind w:left="-8" w:firstLine="8"/>
        <w:spacing w:after="0" w:line="252" w:lineRule="auto"/>
        <w:tabs>
          <w:tab w:leader="none" w:pos="20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information particular to such vote and meeting and any solicitation materials, (ii) that each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Holder’s ADRs and (iii) the manner in which such instructions may be given or deemed given in accordance with paragraph 12(b)(ii) below,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w:t>
      </w:r>
    </w:p>
    <w:p>
      <w:pPr>
        <w:spacing w:after="0" w:line="186" w:lineRule="exact"/>
        <w:rPr>
          <w:rFonts w:ascii="Times New Roman" w:cs="Times New Roman" w:eastAsia="Times New Roman" w:hAnsi="Times New Roman"/>
          <w:sz w:val="18"/>
          <w:szCs w:val="18"/>
          <w:color w:val="auto"/>
        </w:rPr>
      </w:pPr>
    </w:p>
    <w:p>
      <w:pPr>
        <w:ind w:left="1232" w:hanging="260"/>
        <w:spacing w:after="0"/>
        <w:tabs>
          <w:tab w:leader="none" w:pos="1232"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of Deposited Securities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8" w:firstLine="980"/>
        <w:spacing w:after="0" w:line="258" w:lineRule="auto"/>
        <w:tabs>
          <w:tab w:leader="none" w:pos="117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actual receipt by the ADR department responsible for 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p>
      <w:pPr>
        <w:spacing w:after="0" w:line="39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72"/>
          </w:cols>
          <w:pgMar w:left="328" w:top="1170" w:right="399" w:bottom="1440" w:gutter="0" w:footer="0" w:header="0"/>
        </w:sectPr>
      </w:pPr>
    </w:p>
    <w:bookmarkStart w:id="42" w:name="page43"/>
    <w:bookmarkEnd w:id="42"/>
    <w:p>
      <w:pPr>
        <w:ind w:right="80" w:firstLine="980"/>
        <w:spacing w:after="0" w:line="267" w:lineRule="auto"/>
        <w:tabs>
          <w:tab w:leader="none" w:pos="1237"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 xml:space="preserve">To the extent that (A) the Depositary has been provided with at least 35 days’ notice of the proposed meeting from the Company, (B) the Voting Notice will be received by all Holders and Beneficial Owners no less than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the Depositary is instructed to deem such Holder, to have instructed the Depositary to give a discretionary proxy for such agenda item(s) to a person designated by the Company to vote the Deposited Securities represented by the ADSs for which actual instructions were not so given by all such Holders on such agenda item(s),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no such instruction shall be deemed given and no discretionary proxy shall be given unless (1) the Company informs the Depositary in writing (and the Company agrees to provide the Depositary with such instruction promptly in writing) that (a) it wishes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w:t>
      </w:r>
    </w:p>
    <w:p>
      <w:pPr>
        <w:spacing w:after="0" w:line="2" w:lineRule="exact"/>
        <w:rPr>
          <w:rFonts w:ascii="Times New Roman" w:cs="Times New Roman" w:eastAsia="Times New Roman" w:hAnsi="Times New Roman"/>
          <w:sz w:val="17"/>
          <w:szCs w:val="17"/>
          <w:color w:val="auto"/>
        </w:rPr>
      </w:pPr>
    </w:p>
    <w:p>
      <w:pPr>
        <w:ind w:right="40" w:firstLine="8"/>
        <w:spacing w:after="0" w:line="253" w:lineRule="auto"/>
        <w:tabs>
          <w:tab w:leader="none" w:pos="2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w:t>
      </w:r>
    </w:p>
    <w:p>
      <w:pPr>
        <w:spacing w:after="0" w:line="188" w:lineRule="exact"/>
        <w:rPr>
          <w:rFonts w:ascii="Times New Roman" w:cs="Times New Roman" w:eastAsia="Times New Roman" w:hAnsi="Times New Roman"/>
          <w:sz w:val="18"/>
          <w:szCs w:val="18"/>
          <w:color w:val="auto"/>
        </w:rPr>
      </w:pPr>
    </w:p>
    <w:p>
      <w:pPr>
        <w:ind w:right="60" w:firstLine="980"/>
        <w:spacing w:after="0" w:line="255" w:lineRule="auto"/>
        <w:tabs>
          <w:tab w:leader="none" w:pos="128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from time to time access information available to it to consider whether any of the circumstances described in (1)(b) or (1)(c) of subsection (ii) above exist, or request additional information from the Company in respect thereto. By taking any such action, the Depositary shall not in any way be deemed or inferred to have been required, or have had any duty or responsibility (contractual or otherwise), to monitor or inquire whether any of the circumstances described in (1)(b) or (1)(c) of subsection (ii) above existed. In addition to the limitations provided for in paragraph</w:t>
      </w:r>
    </w:p>
    <w:p>
      <w:pPr>
        <w:spacing w:after="0" w:line="2"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hereof, Holders and Beneficial Owners are advised and agree that (a) the Depositary will rely fully and exclusively on the Company to inform the Depositary of any of the circumstances set forth in (1) of subsection (ii) above, and (b) neither the Depositary, the Custodian nor any of their respective agents shall be obliged to inquire or investigate whether any of the circumstances described in (1)(b) or (1)(c) of subsection (ii) above exist and/or whether the Company complied with its obligation to timely inform the Depositary of such circumstances. Neither the Depositary, the Custodian nor any of their respective agents shall incur any liability to Holders or Beneficial Owners (i) as a result of the Company’s failure to determine that any of the circumstances described in (1)(b) or (1)(c) of subsection (ii) above exist or its failure to timely notify the Depositary of any such circumstances or (ii) if any agenda item which is approved at a meeting has, or is claimed to have, a material or adverse effect on the rights of holders of Shares. Because there is no guarantee that Holders and Beneficial Owners will receive the notices described above with sufficient time to enable such Holders or Beneficial Owners to return any voting instructions to the Depositary in a timely manner, Holders and Beneficial Owners may be deemed to have instructed the Depositary to give a discretionary proxy to a person designated by the Company in such circumstances, and neither the Depositary, the Custodian nor any of their respective agents shall incur any liability to Holders or Beneficial Owners in such circumstances.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3" w:name="page44"/>
    <w:bookmarkEnd w:id="43"/>
    <w:p>
      <w:pPr>
        <w:ind w:left="-40" w:firstLine="980"/>
        <w:spacing w:after="0" w:line="255" w:lineRule="auto"/>
        <w:tabs>
          <w:tab w:leader="none" w:pos="117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 xml:space="preserve">Alternative Methods of Distributing Materials. </w:t>
      </w:r>
      <w:r>
        <w:rPr>
          <w:rFonts w:ascii="Times New Roman" w:cs="Times New Roman" w:eastAsia="Times New Roman" w:hAnsi="Times New Roman"/>
          <w:sz w:val="18"/>
          <w:szCs w:val="18"/>
          <w:color w:val="auto"/>
        </w:rPr>
        <w:t>Notwithstanding anything contained in the Deposit Agreement or any ADR, the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to the extent not prohibited by any law, rule or regulation or by the rules, regulations or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184" w:lineRule="exact"/>
        <w:rPr>
          <w:rFonts w:ascii="Times New Roman" w:cs="Times New Roman" w:eastAsia="Times New Roman" w:hAnsi="Times New Roman"/>
          <w:sz w:val="18"/>
          <w:szCs w:val="18"/>
          <w:color w:val="auto"/>
        </w:rPr>
      </w:pPr>
    </w:p>
    <w:p>
      <w:pPr>
        <w:jc w:val="both"/>
        <w:ind w:left="-40" w:firstLine="980"/>
        <w:spacing w:after="0" w:line="257" w:lineRule="auto"/>
        <w:tabs>
          <w:tab w:leader="none" w:pos="118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Manner of Voting</w:t>
      </w:r>
      <w:r>
        <w:rPr>
          <w:rFonts w:ascii="Times New Roman" w:cs="Times New Roman" w:eastAsia="Times New Roman" w:hAnsi="Times New Roman"/>
          <w:sz w:val="18"/>
          <w:szCs w:val="18"/>
          <w:color w:val="auto"/>
        </w:rPr>
        <w:t>. The Depositary has been advised by the Company that under Cayman Islands law and the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of the Company, each as in effect as of the date of the Deposit Agreement, voting at any meeting of shareholders of the Company is by show of hands unless a poll is (before or on the declaration of the results of the show of hands or on the withdrawal of any other demand for a poll) demanded.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180" w:lineRule="exact"/>
        <w:rPr>
          <w:rFonts w:ascii="Times New Roman" w:cs="Times New Roman" w:eastAsia="Times New Roman" w:hAnsi="Times New Roman"/>
          <w:sz w:val="18"/>
          <w:szCs w:val="18"/>
          <w:color w:val="auto"/>
        </w:rPr>
      </w:pPr>
    </w:p>
    <w:p>
      <w:pPr>
        <w:ind w:left="960" w:hanging="344"/>
        <w:spacing w:after="0"/>
        <w:tabs>
          <w:tab w:leader="none" w:pos="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Changes Affecting Deposited Securities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40" w:right="40" w:firstLine="980"/>
        <w:spacing w:after="0" w:line="255" w:lineRule="auto"/>
        <w:tabs>
          <w:tab w:leader="none" w:pos="117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paragraphs (4) (</w:t>
      </w:r>
      <w:r>
        <w:rPr>
          <w:rFonts w:ascii="Times New Roman" w:cs="Times New Roman" w:eastAsia="Times New Roman" w:hAnsi="Times New Roman"/>
          <w:sz w:val="18"/>
          <w:szCs w:val="18"/>
          <w:i w:val="1"/>
          <w:iCs w:val="1"/>
          <w:color w:val="auto"/>
        </w:rPr>
        <w:t>Certain Limitations to Registration, Transfer etc.</w:t>
      </w:r>
      <w:r>
        <w:rPr>
          <w:rFonts w:ascii="Times New Roman" w:cs="Times New Roman" w:eastAsia="Times New Roman" w:hAnsi="Times New Roman"/>
          <w:sz w:val="18"/>
          <w:szCs w:val="18"/>
          <w:color w:val="auto"/>
        </w:rPr>
        <w:t>) and (5) (</w:t>
      </w:r>
      <w:r>
        <w:rPr>
          <w:rFonts w:ascii="Times New Roman" w:cs="Times New Roman" w:eastAsia="Times New Roman" w:hAnsi="Times New Roman"/>
          <w:sz w:val="18"/>
          <w:szCs w:val="18"/>
          <w:i w:val="1"/>
          <w:iCs w:val="1"/>
          <w:color w:val="auto"/>
        </w:rPr>
        <w:t>Liability of Holder or Beneficial Owner for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Duties and Other Charges</w:t>
      </w:r>
      <w:r>
        <w:rPr>
          <w:rFonts w:ascii="Times New Roman" w:cs="Times New Roman" w:eastAsia="Times New Roman" w:hAnsi="Times New Roman"/>
          <w:sz w:val="18"/>
          <w:szCs w:val="18"/>
          <w:color w:val="auto"/>
        </w:rPr>
        <w:t>), the Depositary may, in its discretion, and shall if reasonably requested by the Company, amend this ADR or distribute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1172" w:right="359" w:bottom="1440" w:gutter="0" w:footer="0" w:header="0"/>
        </w:sectPr>
      </w:pPr>
    </w:p>
    <w:bookmarkStart w:id="44" w:name="page45"/>
    <w:bookmarkEnd w:id="44"/>
    <w:p>
      <w:pPr>
        <w:ind w:left="-8" w:right="140" w:firstLine="980"/>
        <w:spacing w:after="0" w:line="266" w:lineRule="auto"/>
        <w:tabs>
          <w:tab w:leader="none" w:pos="1219"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 automatically represent its pro rata interest in the Deposited Securities as then constituted.</w:t>
      </w:r>
    </w:p>
    <w:p>
      <w:pPr>
        <w:spacing w:after="0" w:line="175" w:lineRule="exact"/>
        <w:rPr>
          <w:rFonts w:ascii="Times New Roman" w:cs="Times New Roman" w:eastAsia="Times New Roman" w:hAnsi="Times New Roman"/>
          <w:sz w:val="18"/>
          <w:szCs w:val="18"/>
          <w:color w:val="auto"/>
        </w:rPr>
      </w:pPr>
    </w:p>
    <w:p>
      <w:pPr>
        <w:ind w:left="-8" w:right="160" w:firstLine="980"/>
        <w:spacing w:after="0" w:line="261" w:lineRule="auto"/>
        <w:tabs>
          <w:tab w:leader="none" w:pos="1209"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175" w:lineRule="exact"/>
        <w:rPr>
          <w:rFonts w:ascii="Times New Roman" w:cs="Times New Roman" w:eastAsia="Times New Roman" w:hAnsi="Times New Roman"/>
          <w:sz w:val="18"/>
          <w:szCs w:val="18"/>
          <w:color w:val="auto"/>
        </w:rPr>
      </w:pPr>
    </w:p>
    <w:p>
      <w:pPr>
        <w:ind w:left="992" w:hanging="344"/>
        <w:spacing w:after="0"/>
        <w:tabs>
          <w:tab w:leader="none" w:pos="99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Exoneration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212" w:hanging="240"/>
        <w:spacing w:after="0"/>
        <w:tabs>
          <w:tab w:leader="none" w:pos="1212"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the Company, and each of their respective directors, officers, employees, agents and affiliates and each of them shall:</w:t>
      </w:r>
    </w:p>
    <w:p>
      <w:pPr>
        <w:spacing w:after="0" w:line="27" w:lineRule="exact"/>
        <w:rPr>
          <w:rFonts w:ascii="Times New Roman" w:cs="Times New Roman" w:eastAsia="Times New Roman" w:hAnsi="Times New Roman"/>
          <w:sz w:val="18"/>
          <w:szCs w:val="18"/>
          <w:color w:val="auto"/>
        </w:rPr>
      </w:pPr>
    </w:p>
    <w:p>
      <w:pPr>
        <w:ind w:left="-8" w:firstLine="8"/>
        <w:spacing w:after="0" w:line="251" w:lineRule="auto"/>
        <w:tabs>
          <w:tab w:leader="none" w:pos="20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no liability (including, without limitation, to Holders or Beneficial Owners) (A) if any present or future law, rule, regulation, fiat, order or decree of the Cayman Islands, Hong Kong, the People’s Republic of China, the United States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work stoppage, strike, civil unrest, revolutions, rebellions, explosions,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 (ii) incur or assume no liability (including, without limitation, to Holders or Beneficial Owners) except to perform its obligations to the extent they are specifically set forth in this ADR and the Deposit Agreement without gross negligence or willful misconduct and the Depositary shall not be a fiduciary or have any fiduciary duty to Holders or Beneficial Owners; (iii) in the case of the Depositary and its agents, be under no obligation to appear in, prosecute or defend any action, suit or other proceeding in respect of any Deposited Securities, the ADSs or this ADR; (iv) 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and (v) not be liable (including, without limitation, to Holders or Beneficial Owners) for any action or inaction by it in reliance upon the advice of or information from any legal counsel, any accountant, any person presenting Shares for deposit, any Holder, or any other person believed by it to be competent to give such advice or information and/or, in the case of the Depositary, the Company. The Depositary shall not be liable for the acts or omissions made by, or the insolvency of, any securities depository, clearing agency or settlement system.</w:t>
      </w:r>
    </w:p>
    <w:p>
      <w:pPr>
        <w:spacing w:after="0" w:line="200" w:lineRule="exact"/>
        <w:rPr>
          <w:sz w:val="20"/>
          <w:szCs w:val="20"/>
          <w:color w:val="auto"/>
        </w:rPr>
      </w:pPr>
    </w:p>
    <w:p>
      <w:pPr>
        <w:spacing w:after="0" w:line="204"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174" w:right="339" w:bottom="1440" w:gutter="0" w:footer="0" w:header="0"/>
        </w:sectPr>
      </w:pPr>
    </w:p>
    <w:bookmarkStart w:id="45" w:name="page46"/>
    <w:bookmarkEnd w:id="45"/>
    <w:p>
      <w:pPr>
        <w:ind w:left="-20" w:right="20" w:firstLine="980"/>
        <w:spacing w:after="0" w:line="254" w:lineRule="auto"/>
        <w:tabs>
          <w:tab w:leader="none" w:pos="120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The Depositary</w:t>
      </w:r>
      <w:r>
        <w:rPr>
          <w:rFonts w:ascii="Times New Roman" w:cs="Times New Roman" w:eastAsia="Times New Roman" w:hAnsi="Times New Roman"/>
          <w:sz w:val="18"/>
          <w:szCs w:val="18"/>
          <w:color w:val="auto"/>
        </w:rPr>
        <w:t>. The Depositary shall not be responsible for, and shall incur no liability in connection with or arising from, the insolvency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any Custodian that is not a branch or affiliate of JPMorgan Chase Bank, N.A.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Notwithstanding anything to the contrary contained in the Deposit Agreement (including the ADRs) and, subject to the further limitations set forth in clause (o)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90" w:lineRule="exact"/>
        <w:rPr>
          <w:rFonts w:ascii="Times New Roman" w:cs="Times New Roman" w:eastAsia="Times New Roman" w:hAnsi="Times New Roman"/>
          <w:sz w:val="18"/>
          <w:szCs w:val="18"/>
          <w:color w:val="auto"/>
        </w:rPr>
      </w:pPr>
    </w:p>
    <w:p>
      <w:pPr>
        <w:ind w:left="-20" w:right="520" w:firstLine="980"/>
        <w:spacing w:after="0" w:line="312" w:lineRule="auto"/>
        <w:tabs>
          <w:tab w:leader="none" w:pos="119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Depositary, the Company and their respective agents may rely and shall be protected in acting upon any written notice, request, direction, instruction or document believed by them to be genuine and to have been signed, presented or given by the proper party or parties.</w:t>
      </w:r>
    </w:p>
    <w:p>
      <w:pPr>
        <w:spacing w:after="0" w:line="139" w:lineRule="exact"/>
        <w:rPr>
          <w:rFonts w:ascii="Times New Roman" w:cs="Times New Roman" w:eastAsia="Times New Roman" w:hAnsi="Times New Roman"/>
          <w:sz w:val="17"/>
          <w:szCs w:val="17"/>
          <w:color w:val="auto"/>
        </w:rPr>
      </w:pPr>
    </w:p>
    <w:p>
      <w:pPr>
        <w:ind w:left="-20" w:right="80" w:firstLine="980"/>
        <w:spacing w:after="0" w:line="266" w:lineRule="auto"/>
        <w:tabs>
          <w:tab w:leader="none" w:pos="120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be under no obligation to inform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spacing w:after="0" w:line="175" w:lineRule="exact"/>
        <w:rPr>
          <w:rFonts w:ascii="Times New Roman" w:cs="Times New Roman" w:eastAsia="Times New Roman" w:hAnsi="Times New Roman"/>
          <w:sz w:val="18"/>
          <w:szCs w:val="18"/>
          <w:color w:val="auto"/>
        </w:rPr>
      </w:pPr>
    </w:p>
    <w:p>
      <w:pPr>
        <w:ind w:left="-20" w:right="20" w:firstLine="980"/>
        <w:spacing w:after="0" w:line="258" w:lineRule="auto"/>
        <w:tabs>
          <w:tab w:leader="none" w:pos="119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and its agents will not be responsible for any failure to carry out any instructions to vote any of the Deposited Securities, for the manner in which any voting instructions are given or deemed to be given in accordance with paragraph 12(b) hereof, including instructions to give a discretionary proxy to a person designated by the Company, for the manner in which any vote is cast, including, without limitation, any vote cast by a person to whom the Depositary is instructed or deemed to have been instructed to grant a discretionary proxy pursuant to paragraph (12)(b) hereof, or for the effect of any such vote.</w:t>
      </w:r>
    </w:p>
    <w:p>
      <w:pPr>
        <w:spacing w:after="0" w:line="183" w:lineRule="exact"/>
        <w:rPr>
          <w:rFonts w:ascii="Times New Roman" w:cs="Times New Roman" w:eastAsia="Times New Roman" w:hAnsi="Times New Roman"/>
          <w:sz w:val="18"/>
          <w:szCs w:val="18"/>
          <w:color w:val="auto"/>
        </w:rPr>
      </w:pPr>
    </w:p>
    <w:p>
      <w:pPr>
        <w:ind w:left="-20" w:right="20" w:firstLine="980"/>
        <w:spacing w:after="0" w:line="282" w:lineRule="auto"/>
        <w:tabs>
          <w:tab w:leader="none" w:pos="117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rely upon instructions from the Company or its counsel in respect of any approval or license required for any currency conversion, transfer or distribution.</w:t>
      </w:r>
    </w:p>
    <w:p>
      <w:pPr>
        <w:spacing w:after="0" w:line="161" w:lineRule="exact"/>
        <w:rPr>
          <w:rFonts w:ascii="Times New Roman" w:cs="Times New Roman" w:eastAsia="Times New Roman" w:hAnsi="Times New Roman"/>
          <w:sz w:val="18"/>
          <w:szCs w:val="18"/>
          <w:color w:val="auto"/>
        </w:rPr>
      </w:pPr>
    </w:p>
    <w:p>
      <w:pPr>
        <w:ind w:left="1220" w:hanging="260"/>
        <w:spacing w:after="0"/>
        <w:tabs>
          <w:tab w:leader="none" w:pos="12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and its agents may own and deal in any class of securities of the Company and its affiliates and in ADRs.</w:t>
      </w:r>
    </w:p>
    <w:p>
      <w:pPr>
        <w:spacing w:after="0" w:line="225" w:lineRule="exact"/>
        <w:rPr>
          <w:rFonts w:ascii="Times New Roman" w:cs="Times New Roman" w:eastAsia="Times New Roman" w:hAnsi="Times New Roman"/>
          <w:sz w:val="18"/>
          <w:szCs w:val="18"/>
          <w:color w:val="auto"/>
        </w:rPr>
      </w:pPr>
    </w:p>
    <w:p>
      <w:pPr>
        <w:ind w:left="-20" w:right="140" w:firstLine="980"/>
        <w:spacing w:after="0" w:line="261" w:lineRule="auto"/>
        <w:tabs>
          <w:tab w:leader="none" w:pos="120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w:t>
      </w:r>
    </w:p>
    <w:p>
      <w:pPr>
        <w:spacing w:after="0" w:line="179" w:lineRule="exact"/>
        <w:rPr>
          <w:rFonts w:ascii="Times New Roman" w:cs="Times New Roman" w:eastAsia="Times New Roman" w:hAnsi="Times New Roman"/>
          <w:sz w:val="18"/>
          <w:szCs w:val="18"/>
          <w:color w:val="auto"/>
        </w:rPr>
      </w:pPr>
    </w:p>
    <w:p>
      <w:pPr>
        <w:ind w:left="-20" w:right="200" w:firstLine="980"/>
        <w:spacing w:after="0" w:line="266" w:lineRule="auto"/>
        <w:tabs>
          <w:tab w:leader="none" w:pos="11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Depositary, the Custodian or the Company, or any of their respective directors, officers, employees, agents or affiliates, shall be liable for the failure by any Holder or Beneficial Owner to obtain the benefits of credits or refunds of non-U.S. tax paid against such Holder’s or Beneficial Owner’s income tax liability.</w:t>
      </w:r>
    </w:p>
    <w:p>
      <w:pPr>
        <w:spacing w:after="0" w:line="175" w:lineRule="exact"/>
        <w:rPr>
          <w:rFonts w:ascii="Times New Roman" w:cs="Times New Roman" w:eastAsia="Times New Roman" w:hAnsi="Times New Roman"/>
          <w:sz w:val="18"/>
          <w:szCs w:val="18"/>
          <w:color w:val="auto"/>
        </w:rPr>
      </w:pPr>
    </w:p>
    <w:p>
      <w:pPr>
        <w:ind w:left="-20" w:firstLine="980"/>
        <w:spacing w:after="0" w:line="261" w:lineRule="auto"/>
        <w:tabs>
          <w:tab w:leader="none" w:pos="116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is under no obligation to provide the Holders and Beneficial Owners, or any of them, with any information about the tax status of the Company. The Depositary and the Company, and any of their respective directors, officers, employees, agents and affiliates, shall not incur any liability for any tax or tax consequences that may be incurred by Holders or Beneficial Owners on account of their ownership or disposition of the ADRs or ADSs.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72" w:right="339" w:bottom="1440" w:gutter="0" w:footer="0" w:header="0"/>
        </w:sectPr>
      </w:pPr>
    </w:p>
    <w:bookmarkStart w:id="46" w:name="page47"/>
    <w:bookmarkEnd w:id="46"/>
    <w:p>
      <w:pPr>
        <w:ind w:left="-8" w:right="120" w:firstLine="980"/>
        <w:spacing w:after="0" w:line="261" w:lineRule="auto"/>
        <w:tabs>
          <w:tab w:leader="none" w:pos="121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spacing w:after="0" w:line="179" w:lineRule="exact"/>
        <w:rPr>
          <w:rFonts w:ascii="Times New Roman" w:cs="Times New Roman" w:eastAsia="Times New Roman" w:hAnsi="Times New Roman"/>
          <w:sz w:val="18"/>
          <w:szCs w:val="18"/>
          <w:color w:val="auto"/>
        </w:rPr>
      </w:pPr>
    </w:p>
    <w:p>
      <w:pPr>
        <w:ind w:left="-8" w:right="40" w:firstLine="980"/>
        <w:spacing w:after="0" w:line="256" w:lineRule="auto"/>
        <w:tabs>
          <w:tab w:leader="none" w:pos="117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the Deposit Agreement to the contrary, the Depositary and the Custodian(s) may use third party delivery services and providers of information regarding matters such as, but not limited to, pricing, proxy voting, corporate actions, class action litigation and other services in connection herewith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w:t>
      </w:r>
    </w:p>
    <w:p>
      <w:pPr>
        <w:spacing w:after="0" w:line="187" w:lineRule="exact"/>
        <w:rPr>
          <w:rFonts w:ascii="Times New Roman" w:cs="Times New Roman" w:eastAsia="Times New Roman" w:hAnsi="Times New Roman"/>
          <w:sz w:val="18"/>
          <w:szCs w:val="18"/>
          <w:color w:val="auto"/>
        </w:rPr>
      </w:pPr>
    </w:p>
    <w:p>
      <w:pPr>
        <w:ind w:left="-8" w:right="120" w:firstLine="980"/>
        <w:spacing w:after="0" w:line="282" w:lineRule="auto"/>
        <w:tabs>
          <w:tab w:leader="none" w:pos="126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spacing w:after="0" w:line="161" w:lineRule="exact"/>
        <w:rPr>
          <w:rFonts w:ascii="Times New Roman" w:cs="Times New Roman" w:eastAsia="Times New Roman" w:hAnsi="Times New Roman"/>
          <w:sz w:val="18"/>
          <w:szCs w:val="18"/>
          <w:color w:val="auto"/>
        </w:rPr>
      </w:pPr>
    </w:p>
    <w:p>
      <w:pPr>
        <w:ind w:left="-8" w:right="620" w:firstLine="980"/>
        <w:spacing w:after="0" w:line="282" w:lineRule="auto"/>
        <w:tabs>
          <w:tab w:leader="none" w:pos="121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agreed to indemnify the Depositary and its agents under certain circumstances and the Depositary has agreed to indemnify the Company under certain circumstances.</w:t>
      </w:r>
    </w:p>
    <w:p>
      <w:pPr>
        <w:spacing w:after="0" w:line="161" w:lineRule="exact"/>
        <w:rPr>
          <w:rFonts w:ascii="Times New Roman" w:cs="Times New Roman" w:eastAsia="Times New Roman" w:hAnsi="Times New Roman"/>
          <w:sz w:val="18"/>
          <w:szCs w:val="18"/>
          <w:color w:val="auto"/>
        </w:rPr>
      </w:pPr>
    </w:p>
    <w:p>
      <w:pPr>
        <w:ind w:left="-8" w:firstLine="980"/>
        <w:spacing w:after="0" w:line="255" w:lineRule="auto"/>
        <w:tabs>
          <w:tab w:leader="none" w:pos="1219"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Deposit Agreement or this ADR to the contrary, neither the Depositary nor the Company, nor any of their respective agents shall be liable to the other for any indirect Special Damages in any form incurred by any of them, or liable to any other person or entity (including, without limitation, Holders and Beneficial Owners) for any Special Damages, or any fees or expenses of counsel in connection therewith, whether or not foreseeable and regardless of the type of action in which such a claim may be brought; provided, however, that</w:t>
      </w:r>
    </w:p>
    <w:p>
      <w:pPr>
        <w:spacing w:after="0" w:line="2" w:lineRule="exact"/>
        <w:rPr>
          <w:rFonts w:ascii="Times New Roman" w:cs="Times New Roman" w:eastAsia="Times New Roman" w:hAnsi="Times New Roman"/>
          <w:sz w:val="18"/>
          <w:szCs w:val="18"/>
          <w:color w:val="auto"/>
        </w:rPr>
      </w:pPr>
    </w:p>
    <w:p>
      <w:pPr>
        <w:ind w:left="-8" w:right="40" w:firstLine="8"/>
        <w:spacing w:after="0" w:line="253" w:lineRule="auto"/>
        <w:tabs>
          <w:tab w:leader="none" w:pos="20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and, for the avoidance of doubt, the Depositary and its agents shall be entitled to legal fees and expenses in defending against any claim for Special Damages and (ii) to the extent Special Damages arise from or out of a claim brought by a third party (including, without limitation, Holders and Beneficial Owners) against the Depositary or any of its agents, the Depositary and its agents shall be entitled to full indemnification from the Company for all such Special Damages, and reasonable fees and expenses of counsel in connection therewith, unless such Special Damages are found to have been a direct result of the gross negligence or willful misconduct of the Depositary.</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174" w:right="339" w:bottom="1440" w:gutter="0" w:footer="0" w:header="0"/>
        </w:sectPr>
      </w:pPr>
    </w:p>
    <w:bookmarkStart w:id="47" w:name="page48"/>
    <w:bookmarkEnd w:id="47"/>
    <w:p>
      <w:pPr>
        <w:ind w:left="-60" w:right="580" w:firstLine="1000"/>
        <w:spacing w:after="0" w:line="282" w:lineRule="auto"/>
        <w:tabs>
          <w:tab w:leader="none" w:pos="118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No provision of the Deposit Agreement or this ADR is intended to constitute a waiver or limitation of any rights which Holders or Beneficial Owners may have under the Securities Act of 1933 or the Securities Exchange Act of 1934, to the extent applicable.</w:t>
      </w:r>
    </w:p>
    <w:p>
      <w:pPr>
        <w:spacing w:after="0" w:line="157" w:lineRule="exact"/>
        <w:rPr>
          <w:rFonts w:ascii="Times New Roman" w:cs="Times New Roman" w:eastAsia="Times New Roman" w:hAnsi="Times New Roman"/>
          <w:sz w:val="18"/>
          <w:szCs w:val="18"/>
          <w:color w:val="auto"/>
        </w:rPr>
      </w:pPr>
    </w:p>
    <w:p>
      <w:pPr>
        <w:ind w:left="940" w:hanging="344"/>
        <w:spacing w:after="0"/>
        <w:tabs>
          <w:tab w:leader="none" w:pos="9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Resignation and Removal of Depositary; the Custodian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0" w:right="260" w:firstLine="1000"/>
        <w:spacing w:after="0" w:line="315" w:lineRule="auto"/>
        <w:tabs>
          <w:tab w:leader="none" w:pos="1176"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Resignation</w:t>
      </w:r>
      <w:r>
        <w:rPr>
          <w:rFonts w:ascii="Times New Roman" w:cs="Times New Roman" w:eastAsia="Times New Roman" w:hAnsi="Times New Roman"/>
          <w:sz w:val="17"/>
          <w:szCs w:val="17"/>
          <w:color w:val="auto"/>
        </w:rPr>
        <w:t>. The Depositary may resign as Depositary by written notice of its election to do so delivered to the Company,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resignation to take effect upon the appointment of a successor depositary and its acceptance of such appointment as provided in the Deposit Agreement.</w:t>
      </w:r>
    </w:p>
    <w:p>
      <w:pPr>
        <w:spacing w:after="0" w:line="134" w:lineRule="exact"/>
        <w:rPr>
          <w:rFonts w:ascii="Times New Roman" w:cs="Times New Roman" w:eastAsia="Times New Roman" w:hAnsi="Times New Roman"/>
          <w:sz w:val="17"/>
          <w:szCs w:val="17"/>
          <w:color w:val="auto"/>
        </w:rPr>
      </w:pPr>
    </w:p>
    <w:p>
      <w:pPr>
        <w:jc w:val="both"/>
        <w:ind w:left="-60" w:right="140" w:firstLine="1000"/>
        <w:spacing w:after="0" w:line="267" w:lineRule="auto"/>
        <w:tabs>
          <w:tab w:leader="none" w:pos="118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The Depositary may at any time be removed by the Company by no less than 60 days’ prior written notice of such removal,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effective upon the later of (i) the 60th day after delivery of the notice to the Depositary and (ii) the appointment of a successor depositary and its acceptance of such appointment as provided in the Deposit Agreement.</w:t>
      </w:r>
    </w:p>
    <w:p>
      <w:pPr>
        <w:spacing w:after="0" w:line="171" w:lineRule="exact"/>
        <w:rPr>
          <w:rFonts w:ascii="Times New Roman" w:cs="Times New Roman" w:eastAsia="Times New Roman" w:hAnsi="Times New Roman"/>
          <w:sz w:val="18"/>
          <w:szCs w:val="18"/>
          <w:color w:val="auto"/>
        </w:rPr>
      </w:pPr>
    </w:p>
    <w:p>
      <w:pPr>
        <w:ind w:left="-60" w:right="80" w:firstLine="1000"/>
        <w:spacing w:after="0" w:line="286" w:lineRule="auto"/>
        <w:tabs>
          <w:tab w:leader="none" w:pos="117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Custodian</w:t>
      </w:r>
      <w:r>
        <w:rPr>
          <w:rFonts w:ascii="Times New Roman" w:cs="Times New Roman" w:eastAsia="Times New Roman" w:hAnsi="Times New Roman"/>
          <w:sz w:val="18"/>
          <w:szCs w:val="18"/>
          <w:color w:val="auto"/>
        </w:rPr>
        <w:t>. The Depositary may appoint substitute or additional Custodians and the term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refers to each Custodian or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Custodians as the context requires.</w:t>
      </w:r>
    </w:p>
    <w:p>
      <w:pPr>
        <w:spacing w:after="0" w:line="154" w:lineRule="exact"/>
        <w:rPr>
          <w:rFonts w:ascii="Times New Roman" w:cs="Times New Roman" w:eastAsia="Times New Roman" w:hAnsi="Times New Roman"/>
          <w:sz w:val="18"/>
          <w:szCs w:val="18"/>
          <w:color w:val="auto"/>
        </w:rPr>
      </w:pPr>
    </w:p>
    <w:p>
      <w:pPr>
        <w:ind w:left="-60" w:firstLine="656"/>
        <w:spacing w:after="0" w:line="252" w:lineRule="auto"/>
        <w:tabs>
          <w:tab w:leader="none" w:pos="9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Subject to the last sentence of paragraph (2) (</w:t>
      </w:r>
      <w:r>
        <w:rPr>
          <w:rFonts w:ascii="Times New Roman" w:cs="Times New Roman" w:eastAsia="Times New Roman" w:hAnsi="Times New Roman"/>
          <w:sz w:val="18"/>
          <w:szCs w:val="18"/>
          <w:i w:val="1"/>
          <w:iCs w:val="1"/>
          <w:color w:val="auto"/>
        </w:rPr>
        <w:t>Withdrawal of Deposited Securities</w:t>
      </w:r>
      <w:r>
        <w:rPr>
          <w:rFonts w:ascii="Times New Roman" w:cs="Times New Roman" w:eastAsia="Times New Roman" w:hAnsi="Times New Roman"/>
          <w:sz w:val="18"/>
          <w:szCs w:val="18"/>
          <w:color w:val="auto"/>
        </w:rPr>
        <w:t>), the ADRs and the Deposit Agreement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 amended by the Company and the Depositary,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amendment that imposes or increases any fees or charges (other than stock transfer or other taxes and other governmental charges, transfer or registration fees, SWIFT, cable, telex or facsimile transmission costs, delivery costs or other such expenses), or that shall otherwise prejudice any substantial existing right of Holders or Beneficial Owners, shall become effective 30 days after notice of such amendment shall have been given to the Holders. Every Holder and Beneficial Owner at the time any amendment to the Deposit Agreement so becomes effective shall be deemed, by continuing to hold such ADR,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 Any amendments or supplements which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or Beneficial Owners. Notwithstanding the foregoing, if any governmental body or regulatory body should adopt new laws, rules or regulations which would require amendment or supplement of the Deposit Agreement or the form of ADR to ensure compliance 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upon retrieval from the Commission’s, the Depositary’s or the Company’s website or upon request from the Depositary).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80" w:top="1174" w:right="379" w:bottom="1440" w:gutter="0" w:footer="0" w:header="0"/>
        </w:sectPr>
      </w:pPr>
    </w:p>
    <w:bookmarkStart w:id="48" w:name="page49"/>
    <w:bookmarkEnd w:id="48"/>
    <w:p>
      <w:pPr>
        <w:ind w:firstLine="656"/>
        <w:spacing w:after="0" w:line="256" w:lineRule="auto"/>
        <w:tabs>
          <w:tab w:leader="none" w:pos="99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 Depositary may, and shall at the written direction of the Company, terminate the Deposit Agreement and this ADR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mailing notice of such termination to the Holders at least 30 days prior to the date fixed in such notice for such termination; provided, however, if the Depositary shall have (i) resigned as Depositary hereunder, notice of such termination by the Depositary shall not be provided to Holders unless a successor depositary shall not be operating hereunder within 60 days of the date of such resignation, or (ii) been removed as Depositary hereunder, notice of such</w:t>
      </w:r>
    </w:p>
    <w:p>
      <w:pPr>
        <w:spacing w:after="0" w:line="3"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termination by the Depositary shall not be provided to Holders unless a successor depositary shall not be operating hereunder on the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Company’s notice of removal was first provided to the Depositary. Notwithstanding anything to the contrary herein, the Depositary may terminate the Deposit Agreement without notice to the Company, but subject to giving 30 days’ notice to the Holders, under the following circumstances: (i) in the event of the Company’s bankruptcy or insolvency, (ii) if the Shares cease to be listed on an internationally recognized stock exchange, (iii) if the Company effects (or will effect) a redemption of all or substantially all of the Deposited Securities, or a cash or share distribution representing a return of all or substantially all of the value of the Deposited Securities, or (iv) there occurs a merger, consolidation, sale of assets or other transaction as a result of which securities or other property are delivered in exchange for or in lieu of Deposited Securities.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9" w:name="page50"/>
    <w:bookmarkEnd w:id="49"/>
    <w:p>
      <w:pPr>
        <w:ind w:firstLine="64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After the date so fixed for termination, (a) all Direct Registration ADRs shall cease to be eligible for the Direct Registration System and shall be considered ADRs issued on the ADR Register and (b) the Depositary shall use its reasonable efforts to ensure that the ADSs cease to be DTC eligible so that neither DTC nor any of its nominees shall thereafter be a Holder. At such time as the ADSs cease to be DTC eligible and/or neither DTC nor any of its nominees is a Holder, the Depositary shall (a) instruct its Custodian to deliver all Deposited Securities to the Company along with a general stock power that refers to the names set forth on the ADR Register and (b) provide the Company with a copy of the ADR Register (which copy may be sent by email or by any means permitted under the notice provisions of the Deposit Agreement). Upon receipt of such Deposited Securities and the ADR Register, the Company shall use its best efforts to issue to each Holder a Share certificate representing the Shares represented by the ADSs reflected on the ADR Register in such Holder’s name and to deliver such Share certificate to the Holder at the address set forth on the ADR Register. After providing such instruction to the Custodian and delivering a copy of the ADR Register to the Company, the Depositary and its agents will perform no further acts under the Deposit Agreement and this ADR and shall cease to have any obligations under the Deposit Agreement and/or the ADRs. After the Company receives the copy of the ADR Register and the Deposited Securities, the Company shall be discharged from all obligations under the Deposit Agreement except (i) to distribute the Shares to the Holders entitled thereto and (ii) for its obligations to the Depositary and its agents.</w:t>
      </w:r>
    </w:p>
    <w:p>
      <w:pPr>
        <w:spacing w:after="0" w:line="19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connection with any termination pursuant to this paragraph (17), the Depositary may, in its sole discretion and without notice to the Company, establish an unsponsored American depositary share program (on such terms as the Depositary may determine) for the Shares and make available to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in paragraph (7) hereof and the fees, charges and expenses applicable to the unsponsored American depositary share program.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0" w:name="page51"/>
    <w:bookmarkEnd w:id="50"/>
    <w:p>
      <w:pPr>
        <w:ind w:left="-20" w:firstLine="656"/>
        <w:spacing w:after="0" w:line="252" w:lineRule="auto"/>
        <w:tabs>
          <w:tab w:leader="none" w:pos="97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Appointment; Acknowledgements and Agreements</w:t>
      </w:r>
      <w:r>
        <w:rPr>
          <w:rFonts w:ascii="Times New Roman" w:cs="Times New Roman" w:eastAsia="Times New Roman" w:hAnsi="Times New Roman"/>
          <w:sz w:val="18"/>
          <w:szCs w:val="18"/>
          <w:color w:val="auto"/>
        </w:rPr>
        <w:t>. Each Holder and each Beneficial Owner, upon acceptance of any ADSs or ADRs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or the Holders or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spacing w:after="0" w:line="190" w:lineRule="exact"/>
        <w:rPr>
          <w:rFonts w:ascii="Times New Roman" w:cs="Times New Roman" w:eastAsia="Times New Roman" w:hAnsi="Times New Roman"/>
          <w:sz w:val="18"/>
          <w:szCs w:val="18"/>
          <w:color w:val="auto"/>
        </w:rPr>
      </w:pPr>
    </w:p>
    <w:p>
      <w:pPr>
        <w:ind w:left="-20" w:firstLine="656"/>
        <w:spacing w:after="0" w:line="254" w:lineRule="auto"/>
        <w:tabs>
          <w:tab w:leader="none" w:pos="97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EACH PARTY TO THE DEPOSIT AGREEMENT (INCLUDING, FOR AVOIDANCE OF DOUBT, EACH 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 INCLUDING ANY CLAIM UNDER THE UNITED STATES FEDERAL SECURITIES LAWS. No provision of the Deposit Agreement or this ADR is intended to constitute a waiver or limitation of any rights which a Holder or any Beneficial Owner may have under the Securities Act of 1933 or the Securities Exchange Act of 1934, to the extent applicable.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70" w:right="339" w:bottom="1440" w:gutter="0" w:footer="0" w:header="0"/>
        </w:sectPr>
      </w:pPr>
    </w:p>
    <w:bookmarkStart w:id="51" w:name="page52"/>
    <w:bookmarkEnd w:id="51"/>
    <w:p>
      <w:pPr>
        <w:jc w:val="both"/>
        <w:ind w:left="-20" w:firstLine="656"/>
        <w:spacing w:after="0" w:line="251" w:lineRule="auto"/>
        <w:tabs>
          <w:tab w:leader="none" w:pos="97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6045835</wp:posOffset>
            </wp:positionH>
            <wp:positionV relativeFrom="page">
              <wp:posOffset>157480</wp:posOffset>
            </wp:positionV>
            <wp:extent cx="1294130" cy="3257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25755"/>
                    </a:xfrm>
                    <a:prstGeom prst="rect">
                      <a:avLst/>
                    </a:prstGeom>
                    <a:noFill/>
                  </pic:spPr>
                </pic:pic>
              </a:graphicData>
            </a:graphic>
          </wp:anchor>
        </w:drawing>
        <w:t xml:space="preserve">Jurisdiction. </w:t>
      </w:r>
      <w:r>
        <w:rPr>
          <w:rFonts w:ascii="Times New Roman" w:cs="Times New Roman" w:eastAsia="Times New Roman" w:hAnsi="Times New Roman"/>
          <w:sz w:val="18"/>
          <w:szCs w:val="18"/>
          <w:color w:val="auto"/>
        </w:rPr>
        <w:t>By holding or owning an ADR or ADS or an interest therein, Holders and Beneficial Owners each irrevocably agree that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state or federal court in New York, New York, and by holding or owning an ADR or ADS or an interest therein each irrevocably waives any objection which it may now or hereafter have to the laying of venue of any such proceeding, and irrevocably submits to the non-exclusive jurisdiction of such courts in any such suit, action or proceeding. By holding or owning an ADR or ADS or an interest therein, Holders and Beneficial Owners each also irrevocably agree that any legal suit, action or proceeding against or involving the Depositary brought by Holders or Beneficial Owners, arising out of or based upon the Deposit Agreement, the ADSs, the ADRs or the transactions contemplated therein, herein, thereby or hereby, may only be instituted in a state or federal court in New York, New York. Notwithstanding the above or anything in the Deposit Agreement to the contrary, in the Deposit Agreement each of the parties thereto (i.e. the Company, the Depositary and all Holders and Beneficial Owners) have agreed that: (i) the Depositary may, in its sole discretion, elect to institute any dispute, suit, action, controversy, claim or proceeding directly or indirectly based on, arising out of or relating to the Deposit Agreement, the ADSs, the ADRs or the transactions contemplated therein, herein, thereby or hereby, including without limitation any question regarding its or their existence, validity, interpretation, performance or termination (a “</w:t>
      </w:r>
      <w:r>
        <w:rPr>
          <w:rFonts w:ascii="Times New Roman" w:cs="Times New Roman" w:eastAsia="Times New Roman" w:hAnsi="Times New Roman"/>
          <w:sz w:val="18"/>
          <w:szCs w:val="18"/>
          <w:b w:val="1"/>
          <w:bCs w:val="1"/>
          <w:color w:val="auto"/>
        </w:rPr>
        <w:t>Dispute</w:t>
      </w:r>
      <w:r>
        <w:rPr>
          <w:rFonts w:ascii="Times New Roman" w:cs="Times New Roman" w:eastAsia="Times New Roman" w:hAnsi="Times New Roman"/>
          <w:sz w:val="18"/>
          <w:szCs w:val="18"/>
          <w:color w:val="auto"/>
        </w:rPr>
        <w:t>”) against any other party or parties (including, without limitation, Disputes, suits, actions or proceedings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suit, action, controversy, claim or proceeding brought by any party or parties to the Deposit Agreement (including, without limitation, Disputes, suits, actions or proceedings brought by Holders and Beneficial Owners) against the Depositary shall be referred to and finally settled by an arbitration conducted under the terms set out in the Deposit Agreement: provided however, notwithstanding the Depositary’s written notice under this clause (ii), to the extent there are specific federal securities law violation aspects to any claims against the Company and/or the Depositary brought by any Holder or Beneficial Owner, the federal securities law violation aspects of such claims brought by a Holder or Beneficial Owner against the Company and/or the Depositary may, at the option of such Holder or Beneficial Owner, remain in state or federal court in New York, New York and all other aspects, claims, Disputes, legal suits, actions and/or proceedings brought by such Holder or Beneficial Owner against the Company and/or the Depositary, including those brought along with, or in addition to, federal securities law violation claims, would be referred to arbitration in accordance herewith.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each case as provided in the Deposit Agreement.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1170"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168275</wp:posOffset>
            </wp:positionV>
            <wp:extent cx="2528570" cy="2825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857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17, 2026</w:t>
            </w:r>
          </w:p>
        </w:tc>
        <w:tc>
          <w:tcPr>
            <w:tcW w:w="6680" w:type="dxa"/>
            <w:vAlign w:val="bottom"/>
            <w:vMerge w:val="restart"/>
          </w:tcPr>
          <w:p>
            <w:pPr>
              <w:ind w:left="1220"/>
              <w:spacing w:after="0"/>
              <w:rPr>
                <w:sz w:val="20"/>
                <w:szCs w:val="20"/>
                <w:color w:val="auto"/>
              </w:rPr>
            </w:pPr>
            <w:r>
              <w:rPr>
                <w:rFonts w:ascii="Times New Roman" w:cs="Times New Roman" w:eastAsia="Times New Roman" w:hAnsi="Times New Roman"/>
                <w:sz w:val="18"/>
                <w:szCs w:val="18"/>
                <w:color w:val="auto"/>
              </w:rPr>
              <w:t>Norton Rose Fulbright US LLP</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1301 Avenue of the Americas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New York, New York 10019-6022</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JPMorgan Chase Bank, N.A., as Depositary</w:t>
            </w:r>
          </w:p>
        </w:tc>
        <w:tc>
          <w:tcPr>
            <w:tcW w:w="6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270 Park Avenue, Floor 8</w:t>
            </w:r>
          </w:p>
        </w:tc>
        <w:tc>
          <w:tcPr>
            <w:tcW w:w="6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NY 10017</w:t>
            </w:r>
          </w:p>
        </w:tc>
        <w:tc>
          <w:tcPr>
            <w:tcW w:w="6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Direct line +1 212 318 3151</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scott.saks@nortonrosefulbright.com</w:t>
            </w:r>
          </w:p>
        </w:tc>
        <w:tc>
          <w:tcPr>
            <w:tcW w:w="0" w:type="dxa"/>
            <w:vAlign w:val="bottom"/>
          </w:tcPr>
          <w:p>
            <w:pPr>
              <w:spacing w:after="0"/>
              <w:rPr>
                <w:sz w:val="1"/>
                <w:szCs w:val="1"/>
                <w:color w:val="auto"/>
              </w:rPr>
            </w:pPr>
          </w:p>
        </w:tc>
      </w:tr>
      <w:tr>
        <w:trPr>
          <w:trHeight w:val="414"/>
        </w:trPr>
        <w:tc>
          <w:tcPr>
            <w:tcW w:w="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Tel +1 212 318 3000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Fax +1 212 318 3400</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68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nortonrosefulbright.com</w:t>
            </w:r>
          </w:p>
        </w:tc>
        <w:tc>
          <w:tcPr>
            <w:tcW w:w="0" w:type="dxa"/>
            <w:vAlign w:val="bottom"/>
          </w:tcPr>
          <w:p>
            <w:pPr>
              <w:spacing w:after="0"/>
              <w:rPr>
                <w:sz w:val="1"/>
                <w:szCs w:val="1"/>
                <w:color w:val="auto"/>
              </w:rPr>
            </w:pPr>
          </w:p>
        </w:tc>
      </w:tr>
      <w:tr>
        <w:trPr>
          <w:trHeight w:val="44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10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w w:val="99"/>
              </w:rPr>
              <w:t>Registration Statement on Form F-6 – American Depositary Shares evidenced by American Depositary Receipts for deposited ordinary shares of</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3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Legend Biotech Corporation</w:t>
            </w:r>
          </w:p>
        </w:tc>
        <w:tc>
          <w:tcPr>
            <w:tcW w:w="6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acted as counsel to JPMorgan Chase Bank, N.A., as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in connection with the Registration Statement on Form F-6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to be filed on the date hereof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by the Depositary, acting solely on behalf of the legal entity created by the Deposit Agreement (as defined below) and Legend Biotech Corporation, an exempted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relating to up to 100,000,000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to be evidenced by American Depositary Receipts (“</w:t>
      </w:r>
      <w:r>
        <w:rPr>
          <w:rFonts w:ascii="Times New Roman" w:cs="Times New Roman" w:eastAsia="Times New Roman" w:hAnsi="Times New Roman"/>
          <w:sz w:val="18"/>
          <w:szCs w:val="18"/>
          <w:b w:val="1"/>
          <w:bCs w:val="1"/>
          <w:color w:val="auto"/>
        </w:rPr>
        <w:t>ADRs</w:t>
      </w:r>
      <w:r>
        <w:rPr>
          <w:rFonts w:ascii="Times New Roman" w:cs="Times New Roman" w:eastAsia="Times New Roman" w:hAnsi="Times New Roman"/>
          <w:sz w:val="18"/>
          <w:szCs w:val="18"/>
          <w:color w:val="auto"/>
        </w:rPr>
        <w:t>”), each ADS representing, subject to the terms and conditions of the Deposit Agreement and the ADRs, the right to receive two (2) ordinary shares, $0.0001 par value per share,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ADSs will be issued pursuant to the Deposit Agreement, dated as of June 5, 2020, among the Company, the Depositary and all holders and beneficial owners from time to time of ADRs issued thereunder (the “</w:t>
      </w:r>
      <w:r>
        <w:rPr>
          <w:rFonts w:ascii="Times New Roman" w:cs="Times New Roman" w:eastAsia="Times New Roman" w:hAnsi="Times New Roman"/>
          <w:sz w:val="18"/>
          <w:szCs w:val="18"/>
          <w:b w:val="1"/>
          <w:bCs w:val="1"/>
          <w:color w:val="auto"/>
        </w:rPr>
        <w:t>Deposit Agreement</w:t>
      </w:r>
      <w:r>
        <w:rPr>
          <w:rFonts w:ascii="Times New Roman" w:cs="Times New Roman" w:eastAsia="Times New Roman" w:hAnsi="Times New Roman"/>
          <w:sz w:val="18"/>
          <w:szCs w:val="18"/>
          <w:color w:val="auto"/>
        </w:rPr>
        <w:t>”), which is being filed as Exhibit (a) to the Registration Statement. Capitalized terms used herein that are not herein defined shall have the meanings assigned to them in the Deposit Agreement.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this opinion, we have examined originals or copies, certified or otherwise identified to our satisfaction, of such documents as we considered necessary or appropriate to enable us to render this opinion, including but not limited to the Registration Statement, the Deposit Agreement and the Form of ADR attached as Exhibit A to the Deposit Agreement, as well as such other corporate records, certificates and instruments as we have deemed necessary or appropriate for purposes of rendering the opinions set forth herein.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rendering this opinion, we have assumed the genuineness and authenticity of all signatures, including electronic signatures, on original documents; the legal capacity, competency and authority of all individuals; the authenticity of all documents submitted to us; the conformity to originals of all documents submitted to us as certified, electronic, facsimile, conformed, photostatic or other copies; the accuracy and completeness of all documents and records reviewed by us; the accuracy, completeness and authenticity of certificates issued by any governmental official, office or agency and the absence of change in the information contained therein from the effective date of any such certificate; and that the relevant Shares will have been legally issued and duly deposited with a Custodian under and in accordance with all applicable laws and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Norton Rose Fulbright US LLP is a limited liability partnership registered under the laws of Texas.</w:t>
      </w:r>
    </w:p>
    <w:p>
      <w:pPr>
        <w:spacing w:after="0" w:line="13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Norton Rose Fulbright US LLP, Norton Rose Fulbright LLP, Norton Rose Fulbright Australia, Norton Rose Fulbright Canada LLP and Norton Rose Fulbright South Africa Inc are separate legal entities and all of them are members of Norton Rose Fulbright Verein, a Swiss verein. Norton Rose Fulbright Verein helps coordinate the activities of the members but does not itself provide legal services to clients. Details of each entity, with certain regulatory information, are available at nortonrosefulbright.com.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JPMorgan Chase 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-119380</wp:posOffset>
            </wp:positionV>
            <wp:extent cx="1491615"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91615" cy="1631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17,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limitations set forth below, we have made such examination of laws and regulations as we have deemed necessary or appropriate for the purposes of expressing the opinions set forth in this letter. We express no opinion with regard to the applicability or effect of the law of any jurisdiction other than, as in effect on the date of this letter, (i) the internal laws of the State of New York and (ii) the federal laws of the United States of America.</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and subject to the foregoing, and assuming that, at the time of their issuance, the Registration Statement is effective under the Securities Act pursuant to the rules of the Commission promulgated with respect thereto and the Deposit Agreement was duly authorized, executed and delivered by the parties thereto with the ADR ratio set forth in the form of ADR attached as Exhibit A thereto, we are of the opinion that the ADSs covered by the Registration Statement, when issued in accordance with the terms of the Deposit Agreement and the Registration Statement, will be legally issued and will entitle the registered holders thereof to the rights specified in the Deposit Agreement and the ADRs.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opinion letter deals only with the specified legal issues expressly addressed herein, and you should not infer any opinion that is not explicitly addressed herein from any matter stated in this letter.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use of this opinion as Exhibit (d) to the Registration Statement. In giving such consent, we do not hereby admit that we are within the category of persons whose consent is required under Section 7 of the Securities Act and the rules and regulations thereunder. This opinion is rendered to you as of the date hereof and we assume no obligation to advise you or any other person hereafter with regard to any change after the date hereof in the circumstances or the law that may bear on the matters set forth herein even though the change may affect the legal analysis or a legal conclusion or other matters in this opinion letter.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Norton Rose Fulbright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Norton Rose Fulbright US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(e)</w:t>
      </w:r>
    </w:p>
    <w:p>
      <w:pPr>
        <w:spacing w:after="0" w:line="24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Rule 466 Certification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depositary, JPMorgan Chase Bank, N.A., represents and certifies the following:</w:t>
      </w:r>
    </w:p>
    <w:p>
      <w:pPr>
        <w:spacing w:after="0" w:line="225" w:lineRule="exact"/>
        <w:rPr>
          <w:sz w:val="20"/>
          <w:szCs w:val="20"/>
          <w:color w:val="auto"/>
        </w:rPr>
      </w:pPr>
    </w:p>
    <w:p>
      <w:pPr>
        <w:ind w:left="660" w:right="340" w:hanging="328"/>
        <w:spacing w:after="0" w:line="282"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previously had filed a registration statement on Form F-6 (File No. 333-238581), which the U.S. Securities and Exchange Commission declared effective, with terms of deposit identical to the terms of deposit of this Form F-6 Registration Statement;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its ability to designate the date and time of effectiveness under Rule 466 has not been suspended.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M. Hayes</w:t>
            </w:r>
          </w:p>
        </w:tc>
      </w:tr>
      <w:tr>
        <w:trPr>
          <w:trHeight w:val="191"/>
        </w:trPr>
        <w:tc>
          <w:tcPr>
            <w:tcW w:w="62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Lisa M. Hayes</w:t>
            </w:r>
          </w:p>
        </w:tc>
      </w:t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Vice President</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1)"/>
      <w:numFmt w:val="lowerLetter"/>
      <w:start w:val="1"/>
    </w:lvl>
  </w:abstractNum>
  <w:abstractNum w:abstractNumId="3">
    <w:nsid w:val="2CD89A32"/>
    <w:multiLevelType w:val="hybridMultilevel"/>
    <w:lvl w:ilvl="0">
      <w:lvlJc w:val="left"/>
      <w:lvlText w:val="(%1)"/>
      <w:numFmt w:val="lowerLetter"/>
      <w:start w:val="6"/>
    </w:lvl>
  </w:abstractNum>
  <w:abstractNum w:abstractNumId="4">
    <w:nsid w:val="57E4CCAF"/>
    <w:multiLevelType w:val="hybridMultilevel"/>
    <w:lvl w:ilvl="0">
      <w:lvlJc w:val="left"/>
      <w:lvlText w:val="(%1)"/>
      <w:numFmt w:val="lowerRoman"/>
      <w:start w:val="1"/>
    </w:lvl>
  </w:abstractNum>
  <w:abstractNum w:abstractNumId="5">
    <w:nsid w:val="7A6D8D3C"/>
    <w:multiLevelType w:val="hybridMultilevel"/>
    <w:lvl w:ilvl="0">
      <w:lvlJc w:val="left"/>
      <w:lvlText w:val="(%1)"/>
      <w:numFmt w:val="lowerLetter"/>
      <w:start w:val="1"/>
    </w:lvl>
  </w:abstractNum>
  <w:abstractNum w:abstractNumId="6">
    <w:nsid w:val="4B588F54"/>
    <w:multiLevelType w:val="hybridMultilevel"/>
    <w:lvl w:ilvl="0">
      <w:lvlJc w:val="left"/>
      <w:lvlText w:val="(%1)"/>
      <w:numFmt w:val="lowerLetter"/>
      <w:start w:val="1"/>
    </w:lvl>
  </w:abstractNum>
  <w:abstractNum w:abstractNumId="7">
    <w:nsid w:val="542289EC"/>
    <w:multiLevelType w:val="hybridMultilevel"/>
    <w:lvl w:ilvl="0">
      <w:lvlJc w:val="left"/>
      <w:lvlText w:val="(%1)"/>
      <w:numFmt w:val="lowerRoman"/>
      <w:start w:val="3"/>
    </w:lvl>
  </w:abstractNum>
  <w:abstractNum w:abstractNumId="8">
    <w:nsid w:val="6DE91B18"/>
    <w:multiLevelType w:val="hybridMultilevel"/>
    <w:lvl w:ilvl="0">
      <w:lvlJc w:val="left"/>
      <w:lvlText w:val="(%1)"/>
      <w:numFmt w:val="lowerLetter"/>
      <w:start w:val="1"/>
    </w:lvl>
  </w:abstractNum>
  <w:abstractNum w:abstractNumId="9">
    <w:nsid w:val="38437FDB"/>
    <w:multiLevelType w:val="hybridMultilevel"/>
    <w:lvl w:ilvl="0">
      <w:lvlJc w:val="left"/>
      <w:lvlText w:val="(%1)"/>
      <w:numFmt w:val="lowerLetter"/>
      <w:start w:val="4"/>
    </w:lvl>
  </w:abstractNum>
  <w:abstractNum w:abstractNumId="10">
    <w:nsid w:val="7644A45C"/>
    <w:multiLevelType w:val="hybridMultilevel"/>
    <w:lvl w:ilvl="0">
      <w:lvlJc w:val="left"/>
      <w:lvlText w:val="%1."/>
      <w:numFmt w:val="decimal"/>
      <w:start w:val="1"/>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1)"/>
      <w:numFmt w:val="lowerLetter"/>
      <w:start w:val="5"/>
    </w:lvl>
  </w:abstractNum>
  <w:abstractNum w:abstractNumId="13">
    <w:nsid w:val="579478FE"/>
    <w:multiLevelType w:val="hybridMultilevel"/>
    <w:lvl w:ilvl="0">
      <w:lvlJc w:val="left"/>
      <w:lvlText w:val="(%1)"/>
      <w:numFmt w:val="lowerLetter"/>
      <w:start w:val="11"/>
    </w:lvl>
  </w:abstractNum>
  <w:abstractNum w:abstractNumId="14">
    <w:nsid w:val="749ABB43"/>
    <w:multiLevelType w:val="hybridMultilevel"/>
    <w:lvl w:ilvl="0">
      <w:lvlJc w:val="left"/>
      <w:lvlText w:val="%1."/>
      <w:numFmt w:val="decimal"/>
      <w:start w:val="2"/>
    </w:lvl>
  </w:abstractNum>
  <w:abstractNum w:abstractNumId="15">
    <w:nsid w:val="3DC240FB"/>
    <w:multiLevelType w:val="hybridMultilevel"/>
    <w:lvl w:ilvl="0">
      <w:lvlJc w:val="left"/>
      <w:lvlText w:val="(%1)"/>
      <w:numFmt w:val="lowerLetter"/>
      <w:start w:val="1"/>
    </w:lvl>
  </w:abstractNum>
  <w:abstractNum w:abstractNumId="16">
    <w:nsid w:val="1BA026FA"/>
    <w:multiLevelType w:val="hybridMultilevel"/>
    <w:lvl w:ilvl="0">
      <w:lvlJc w:val="left"/>
      <w:lvlText w:val="%1."/>
      <w:numFmt w:val="decimal"/>
      <w:start w:val="3"/>
    </w:lvl>
  </w:abstractNum>
  <w:abstractNum w:abstractNumId="17">
    <w:nsid w:val="79A1DEAA"/>
    <w:multiLevelType w:val="hybridMultilevel"/>
    <w:lvl w:ilvl="0">
      <w:lvlJc w:val="left"/>
      <w:lvlText w:val="(%1)"/>
      <w:numFmt w:val="lowerLetter"/>
      <w:start w:val="1"/>
    </w:lvl>
    <w:lvl w:ilvl="1">
      <w:lvlJc w:val="left"/>
      <w:lvlText w:val="(%2)"/>
      <w:numFmt w:val="lowerRoman"/>
      <w:start w:val="1"/>
    </w:lvl>
  </w:abstractNum>
  <w:abstractNum w:abstractNumId="18">
    <w:nsid w:val="75C6C33A"/>
    <w:multiLevelType w:val="hybridMultilevel"/>
    <w:lvl w:ilvl="0">
      <w:lvlJc w:val="left"/>
      <w:lvlText w:val="(%1)"/>
      <w:numFmt w:val="lowerLetter"/>
      <w:start w:val="3"/>
    </w:lvl>
  </w:abstractNum>
  <w:abstractNum w:abstractNumId="19">
    <w:nsid w:val="12E685FB"/>
    <w:multiLevelType w:val="hybridMultilevel"/>
    <w:lvl w:ilvl="0">
      <w:lvlJc w:val="left"/>
      <w:lvlText w:val="%1"/>
      <w:numFmt w:val="decimal"/>
      <w:start w:val="1"/>
    </w:lvl>
    <w:lvl w:ilvl="1">
      <w:lvlJc w:val="left"/>
      <w:lvlText w:val="%2."/>
      <w:numFmt w:val="decimal"/>
      <w:start w:val="4"/>
    </w:lvl>
  </w:abstractNum>
  <w:abstractNum w:abstractNumId="20">
    <w:nsid w:val="70C6A529"/>
    <w:multiLevelType w:val="hybridMultilevel"/>
    <w:lvl w:ilvl="0">
      <w:lvlJc w:val="left"/>
      <w:lvlText w:val="(%1)"/>
      <w:numFmt w:val="decimal"/>
      <w:start w:val="10"/>
    </w:lvl>
    <w:lvl w:ilvl="1">
      <w:lvlJc w:val="left"/>
      <w:lvlText w:val="%2."/>
      <w:numFmt w:val="decimal"/>
      <w:start w:val="6"/>
    </w:lvl>
  </w:abstractNum>
  <w:abstractNum w:abstractNumId="21">
    <w:nsid w:val="520EEDD1"/>
    <w:multiLevelType w:val="hybridMultilevel"/>
    <w:lvl w:ilvl="0">
      <w:lvlJc w:val="left"/>
      <w:lvlText w:val="%1."/>
      <w:numFmt w:val="decimal"/>
      <w:start w:val="7"/>
    </w:lvl>
  </w:abstractNum>
  <w:abstractNum w:abstractNumId="22">
    <w:nsid w:val="374A3FE6"/>
    <w:multiLevelType w:val="hybridMultilevel"/>
    <w:lvl w:ilvl="0">
      <w:lvlJc w:val="left"/>
      <w:lvlText w:val="(%1)"/>
      <w:numFmt w:val="lowerLetter"/>
      <w:start w:val="1"/>
    </w:lvl>
  </w:abstractNum>
  <w:abstractNum w:abstractNumId="23">
    <w:nsid w:val="4F4EF005"/>
    <w:multiLevelType w:val="hybridMultilevel"/>
    <w:lvl w:ilvl="0">
      <w:lvlJc w:val="left"/>
      <w:lvlText w:val="%1."/>
      <w:numFmt w:val="decimal"/>
      <w:start w:val="10"/>
    </w:lvl>
  </w:abstractNum>
  <w:abstractNum w:abstractNumId="24">
    <w:nsid w:val="23F9C13C"/>
    <w:multiLevelType w:val="hybridMultilevel"/>
    <w:lvl w:ilvl="0">
      <w:lvlJc w:val="left"/>
      <w:lvlText w:val="(%1)"/>
      <w:numFmt w:val="lowerLetter"/>
      <w:start w:val="1"/>
    </w:lvl>
  </w:abstractNum>
  <w:abstractNum w:abstractNumId="25">
    <w:nsid w:val="649BB77C"/>
    <w:multiLevelType w:val="hybridMultilevel"/>
    <w:lvl w:ilvl="0">
      <w:lvlJc w:val="left"/>
      <w:lvlText w:val="%1"/>
      <w:numFmt w:val="lowerLetter"/>
      <w:start w:val="1"/>
    </w:lvl>
    <w:lvl w:ilvl="1">
      <w:lvlJc w:val="left"/>
      <w:lvlText w:val="(%2)"/>
      <w:numFmt w:val="lowerLetter"/>
      <w:start w:val="3"/>
    </w:lvl>
  </w:abstractNum>
  <w:abstractNum w:abstractNumId="26">
    <w:nsid w:val="275AC794"/>
    <w:multiLevelType w:val="hybridMultilevel"/>
    <w:lvl w:ilvl="0">
      <w:lvlJc w:val="left"/>
      <w:lvlText w:val="(%1)"/>
      <w:numFmt w:val="lowerLetter"/>
      <w:start w:val="9"/>
    </w:lvl>
    <w:lvl w:ilvl="1">
      <w:lvlJc w:val="left"/>
      <w:lvlText w:val="%2"/>
      <w:numFmt w:val="lowerLetter"/>
      <w:start w:val="1"/>
    </w:lvl>
  </w:abstractNum>
  <w:abstractNum w:abstractNumId="27">
    <w:nsid w:val="39386575"/>
    <w:multiLevelType w:val="hybridMultilevel"/>
    <w:lvl w:ilvl="0">
      <w:lvlJc w:val="left"/>
      <w:lvlText w:val="%1."/>
      <w:numFmt w:val="decimal"/>
      <w:start w:val="13"/>
    </w:lvl>
  </w:abstractNum>
  <w:abstractNum w:abstractNumId="28">
    <w:nsid w:val="1CF10FD8"/>
    <w:multiLevelType w:val="hybridMultilevel"/>
    <w:lvl w:ilvl="0">
      <w:lvlJc w:val="left"/>
      <w:lvlText w:val="%1."/>
      <w:numFmt w:val="decimal"/>
      <w:start w:val="15"/>
    </w:lvl>
  </w:abstractNum>
  <w:abstractNum w:abstractNumId="29">
    <w:nsid w:val="180115BE"/>
    <w:multiLevelType w:val="hybridMultilevel"/>
    <w:lvl w:ilvl="0">
      <w:lvlJc w:val="left"/>
      <w:lvlText w:val="(%1)"/>
      <w:numFmt w:val="lowerLetter"/>
      <w:start w:val="1"/>
    </w:lvl>
  </w:abstractNum>
  <w:abstractNum w:abstractNumId="30">
    <w:nsid w:val="235BA861"/>
    <w:multiLevelType w:val="hybridMultilevel"/>
    <w:lvl w:ilvl="0">
      <w:lvlJc w:val="left"/>
      <w:lvlText w:val="(%1)"/>
      <w:numFmt w:val="lowerLetter"/>
      <w:start w:val="2"/>
    </w:lvl>
  </w:abstractNum>
  <w:abstractNum w:abstractNumId="31">
    <w:nsid w:val="47398C89"/>
    <w:multiLevelType w:val="hybridMultilevel"/>
    <w:lvl w:ilvl="0">
      <w:lvlJc w:val="left"/>
      <w:lvlText w:val="%1"/>
      <w:numFmt w:val="lowerLetter"/>
      <w:start w:val="1"/>
    </w:lvl>
    <w:lvl w:ilvl="1">
      <w:lvlJc w:val="left"/>
      <w:lvlText w:val="(%2)"/>
      <w:numFmt w:val="lowerLetter"/>
      <w:start w:val="3"/>
    </w:lvl>
  </w:abstractNum>
  <w:abstractNum w:abstractNumId="32">
    <w:nsid w:val="354FE9F9"/>
    <w:multiLevelType w:val="hybridMultilevel"/>
    <w:lvl w:ilvl="0">
      <w:lvlJc w:val="left"/>
      <w:lvlText w:val="(%1)"/>
      <w:numFmt w:val="lowerLetter"/>
      <w:start w:val="9"/>
    </w:lvl>
    <w:lvl w:ilvl="1">
      <w:lvlJc w:val="left"/>
      <w:lvlText w:val="(%2)"/>
      <w:numFmt w:val="lowerLetter"/>
      <w:start w:val="4"/>
    </w:lvl>
  </w:abstractNum>
  <w:abstractNum w:abstractNumId="33">
    <w:nsid w:val="15B5AF5C"/>
    <w:multiLevelType w:val="hybridMultilevel"/>
    <w:lvl w:ilvl="0">
      <w:lvlJc w:val="left"/>
      <w:lvlText w:val="%1."/>
      <w:numFmt w:val="decimal"/>
      <w:start w:val="16"/>
    </w:lvl>
  </w:abstractNum>
  <w:abstractNum w:abstractNumId="34">
    <w:nsid w:val="741226BB"/>
    <w:multiLevelType w:val="hybridMultilevel"/>
    <w:lvl w:ilvl="0">
      <w:lvlJc w:val="left"/>
      <w:lvlText w:val="(%1)"/>
      <w:numFmt w:val="lowerLetter"/>
      <w:start w:val="2"/>
    </w:lvl>
    <w:lvl w:ilvl="1">
      <w:lvlJc w:val="left"/>
      <w:lvlText w:val="(%2)"/>
      <w:numFmt w:val="lowerRoman"/>
      <w:start w:val="1"/>
    </w:lvl>
  </w:abstractNum>
  <w:abstractNum w:abstractNumId="35">
    <w:nsid w:val="D34B6A8"/>
    <w:multiLevelType w:val="hybridMultilevel"/>
    <w:lvl w:ilvl="0">
      <w:lvlJc w:val="left"/>
      <w:lvlText w:val="%1."/>
      <w:numFmt w:val="decimal"/>
      <w:start w:val="17"/>
    </w:lvl>
  </w:abstractNum>
  <w:abstractNum w:abstractNumId="36">
    <w:nsid w:val="10233C99"/>
    <w:multiLevelType w:val="hybridMultilevel"/>
    <w:lvl w:ilvl="0">
      <w:lvlJc w:val="left"/>
      <w:lvlText w:val="%1."/>
      <w:numFmt w:val="decimal"/>
      <w:start w:val="20"/>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decimal"/>
      <w:start w:val="1"/>
    </w:lvl>
    <w:lvl w:ilvl="1">
      <w:lvlJc w:val="left"/>
      <w:lvlText w:val="(%2)"/>
      <w:numFmt w:val="lowerLetter"/>
      <w:start w:val="4"/>
    </w:lvl>
  </w:abstractNum>
  <w:abstractNum w:abstractNumId="39">
    <w:nsid w:val="7E0C57B1"/>
    <w:multiLevelType w:val="hybridMultilevel"/>
    <w:lvl w:ilvl="0">
      <w:lvlJc w:val="left"/>
      <w:lvlText w:val="(%1)"/>
      <w:numFmt w:val="decimal"/>
      <w:start w:val="30"/>
    </w:lvl>
    <w:lvl w:ilvl="1">
      <w:lvlJc w:val="left"/>
      <w:lvlText w:val="(%2)"/>
      <w:numFmt w:val="lowerLetter"/>
      <w:start w:val="5"/>
    </w:lvl>
  </w:abstractNum>
  <w:abstractNum w:abstractNumId="40">
    <w:nsid w:val="77AE35EB"/>
    <w:multiLevelType w:val="hybridMultilevel"/>
    <w:lvl w:ilvl="0">
      <w:lvlJc w:val="left"/>
      <w:lvlText w:val="%1."/>
      <w:numFmt w:val="decimal"/>
      <w:start w:val="21"/>
    </w:lvl>
  </w:abstractNum>
  <w:abstractNum w:abstractNumId="41">
    <w:nsid w:val="579BE4F1"/>
    <w:multiLevelType w:val="hybridMultilevel"/>
    <w:lvl w:ilvl="0">
      <w:lvlJc w:val="left"/>
      <w:lvlText w:val="%1"/>
      <w:numFmt w:val="decimal"/>
      <w:start w:val="1"/>
    </w:lvl>
    <w:lvl w:ilvl="1">
      <w:lvlJc w:val="left"/>
      <w:lvlText w:val="(%2)"/>
      <w:numFmt w:val="lowerLetter"/>
      <w:start w:val="1"/>
    </w:lvl>
  </w:abstractNum>
  <w:abstractNum w:abstractNumId="42">
    <w:nsid w:val="310C50B3"/>
    <w:multiLevelType w:val="hybridMultilevel"/>
    <w:lvl w:ilvl="0">
      <w:lvlJc w:val="left"/>
      <w:lvlText w:val="(%1)"/>
      <w:numFmt w:val="decimal"/>
      <w:start w:val="5"/>
    </w:lvl>
    <w:lvl w:ilvl="1">
      <w:lvlJc w:val="left"/>
      <w:lvlText w:val="%2"/>
      <w:numFmt w:val="lowerLetter"/>
      <w:start w:val="1"/>
    </w:lvl>
  </w:abstractNum>
  <w:abstractNum w:abstractNumId="43">
    <w:nsid w:val="5FF87E05"/>
    <w:multiLevelType w:val="hybridMultilevel"/>
    <w:lvl w:ilvl="0">
      <w:lvlJc w:val="left"/>
      <w:lvlText w:val="%1."/>
      <w:numFmt w:val="decimal"/>
      <w:start w:val="22"/>
    </w:lvl>
  </w:abstractNum>
  <w:abstractNum w:abstractNumId="44">
    <w:nsid w:val="2F305DE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5">
    <w:nsid w:val="25A70BF7"/>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46">
    <w:nsid w:val="1DBABF00"/>
    <w:multiLevelType w:val="hybridMultilevel"/>
    <w:lvl w:ilvl="0">
      <w:lvlJc w:val="left"/>
      <w:lvlText w:val="(%1)"/>
      <w:numFmt w:val="lowerRoman"/>
      <w:start w:val="1"/>
    </w:lvl>
  </w:abstractNum>
  <w:abstractNum w:abstractNumId="47">
    <w:nsid w:val="4AD084E9"/>
    <w:multiLevelType w:val="hybridMultilevel"/>
    <w:lvl w:ilvl="0">
      <w:lvlJc w:val="left"/>
      <w:lvlText w:val="%1"/>
      <w:numFmt w:val="decimal"/>
      <w:start w:val="1"/>
    </w:lvl>
    <w:lvl w:ilvl="1">
      <w:lvlJc w:val="left"/>
      <w:lvlText w:val="(%2)"/>
      <w:numFmt w:val="lowerLetter"/>
      <w:start w:val="4"/>
    </w:lvl>
  </w:abstractNum>
  <w:abstractNum w:abstractNumId="48">
    <w:nsid w:val="1F48EAA1"/>
    <w:multiLevelType w:val="hybridMultilevel"/>
    <w:lvl w:ilvl="0">
      <w:lvlJc w:val="left"/>
      <w:lvlText w:val="(%1)"/>
      <w:numFmt w:val="decimal"/>
      <w:start w:val="2"/>
    </w:lvl>
    <w:lvl w:ilvl="1">
      <w:lvlJc w:val="left"/>
      <w:lvlText w:val="%2"/>
      <w:numFmt w:val="lowerLetter"/>
      <w:start w:val="1"/>
    </w:lvl>
  </w:abstractNum>
  <w:abstractNum w:abstractNumId="49">
    <w:nsid w:val="1381823A"/>
    <w:multiLevelType w:val="hybridMultilevel"/>
    <w:lvl w:ilvl="0">
      <w:lvlJc w:val="left"/>
      <w:lvlText w:val="(%1)"/>
      <w:numFmt w:val="decimal"/>
      <w:start w:val="3"/>
    </w:lvl>
    <w:lvl w:ilvl="1">
      <w:lvlJc w:val="left"/>
      <w:lvlText w:val="(%2)"/>
      <w:numFmt w:val="lowerLetter"/>
      <w:start w:val="1"/>
    </w:lvl>
  </w:abstractNum>
  <w:abstractNum w:abstractNumId="50">
    <w:nsid w:val="5DB70AE5"/>
    <w:multiLevelType w:val="hybridMultilevel"/>
    <w:lvl w:ilvl="0">
      <w:lvlJc w:val="left"/>
      <w:lvlText w:val="(%1)"/>
      <w:numFmt w:val="decimal"/>
      <w:start w:val="5"/>
    </w:lvl>
  </w:abstractNum>
  <w:abstractNum w:abstractNumId="51">
    <w:nsid w:val="100F8FCA"/>
    <w:multiLevelType w:val="hybridMultilevel"/>
    <w:lvl w:ilvl="0">
      <w:lvlJc w:val="left"/>
      <w:lvlText w:val="%1"/>
      <w:numFmt w:val="lowerLetter"/>
      <w:start w:val="1"/>
    </w:lvl>
    <w:lvl w:ilvl="1">
      <w:lvlJc w:val="left"/>
      <w:lvlText w:val="(%2)"/>
      <w:numFmt w:val="decimal"/>
      <w:start w:val="6"/>
    </w:lvl>
  </w:abstractNum>
  <w:abstractNum w:abstractNumId="52">
    <w:nsid w:val="6590700B"/>
    <w:multiLevelType w:val="hybridMultilevel"/>
    <w:lvl w:ilvl="0">
      <w:lvlJc w:val="left"/>
      <w:lvlText w:val="(%1)"/>
      <w:numFmt w:val="lowerLetter"/>
      <w:start w:val="1"/>
    </w:lvl>
    <w:lvl w:ilvl="1">
      <w:lvlJc w:val="left"/>
      <w:lvlText w:val="%2"/>
      <w:numFmt w:val="decimal"/>
      <w:start w:val="1"/>
    </w:lvl>
  </w:abstractNum>
  <w:abstractNum w:abstractNumId="53">
    <w:nsid w:val="15014ACB"/>
    <w:multiLevelType w:val="hybridMultilevel"/>
    <w:lvl w:ilvl="0">
      <w:lvlJc w:val="left"/>
      <w:lvlText w:val="(%1)"/>
      <w:numFmt w:val="lowerLetter"/>
      <w:start w:val="2"/>
    </w:lvl>
  </w:abstractNum>
  <w:abstractNum w:abstractNumId="54">
    <w:nsid w:val="5F5E7FD0"/>
    <w:multiLevelType w:val="hybridMultilevel"/>
    <w:lvl w:ilvl="0">
      <w:lvlJc w:val="left"/>
      <w:lvlText w:val="(%1)"/>
      <w:numFmt w:val="decimal"/>
      <w:start w:val="7"/>
    </w:lvl>
    <w:lvl w:ilvl="1">
      <w:lvlJc w:val="left"/>
      <w:lvlText w:val="(%2)"/>
      <w:numFmt w:val="lowerLetter"/>
      <w:start w:val="1"/>
    </w:lvl>
  </w:abstractNum>
  <w:abstractNum w:abstractNumId="55">
    <w:nsid w:val="98A3148"/>
    <w:multiLevelType w:val="hybridMultilevel"/>
    <w:lvl w:ilvl="0">
      <w:lvlJc w:val="left"/>
      <w:lvlText w:val="(%1)"/>
      <w:numFmt w:val="lowerLetter"/>
      <w:start w:val="2"/>
    </w:lvl>
  </w:abstractNum>
  <w:abstractNum w:abstractNumId="56">
    <w:nsid w:val="799D0247"/>
    <w:multiLevelType w:val="hybridMultilevel"/>
    <w:lvl w:ilvl="0">
      <w:lvlJc w:val="left"/>
      <w:lvlText w:val="(%1)"/>
      <w:numFmt w:val="lowerRoman"/>
      <w:start w:val="1"/>
    </w:lvl>
  </w:abstractNum>
  <w:abstractNum w:abstractNumId="57">
    <w:nsid w:val="6B94764"/>
    <w:multiLevelType w:val="hybridMultilevel"/>
    <w:lvl w:ilvl="0">
      <w:lvlJc w:val="left"/>
      <w:lvlText w:val="(%1)"/>
      <w:numFmt w:val="lowerLetter"/>
      <w:start w:val="3"/>
    </w:lvl>
  </w:abstractNum>
  <w:abstractNum w:abstractNumId="58">
    <w:nsid w:val="42C296BD"/>
    <w:multiLevelType w:val="hybridMultilevel"/>
    <w:lvl w:ilvl="0">
      <w:lvlJc w:val="left"/>
      <w:lvlText w:val="(%1)"/>
      <w:numFmt w:val="lowerRoman"/>
      <w:start w:val="1"/>
    </w:lvl>
  </w:abstractNum>
  <w:abstractNum w:abstractNumId="59">
    <w:nsid w:val="168E121F"/>
    <w:multiLevelType w:val="hybridMultilevel"/>
    <w:lvl w:ilvl="0">
      <w:lvlJc w:val="left"/>
      <w:lvlText w:val="(%1)"/>
      <w:numFmt w:val="lowerLetter"/>
      <w:start w:val="4"/>
    </w:lvl>
  </w:abstractNum>
  <w:abstractNum w:abstractNumId="60">
    <w:nsid w:val="1EBA5D23"/>
    <w:multiLevelType w:val="hybridMultilevel"/>
    <w:lvl w:ilvl="0">
      <w:lvlJc w:val="left"/>
      <w:lvlText w:val="(%1)"/>
      <w:numFmt w:val="lowerLetter"/>
      <w:start w:val="5"/>
    </w:lvl>
  </w:abstractNum>
  <w:abstractNum w:abstractNumId="61">
    <w:nsid w:val="661E3F1E"/>
    <w:multiLevelType w:val="hybridMultilevel"/>
    <w:lvl w:ilvl="0">
      <w:lvlJc w:val="left"/>
      <w:lvlText w:val="(%1)"/>
      <w:numFmt w:val="decimal"/>
      <w:start w:val="8"/>
    </w:lvl>
  </w:abstractNum>
  <w:abstractNum w:abstractNumId="62">
    <w:nsid w:val="5DC79EA8"/>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63">
    <w:nsid w:val="540A471C"/>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64">
    <w:nsid w:val="7BD3EE7B"/>
    <w:multiLevelType w:val="hybridMultilevel"/>
    <w:lvl w:ilvl="0">
      <w:lvlJc w:val="left"/>
      <w:lvlText w:val="(%1)"/>
      <w:numFmt w:val="lowerLetter"/>
      <w:start w:val="4"/>
    </w:lvl>
  </w:abstractNum>
  <w:abstractNum w:abstractNumId="65">
    <w:nsid w:val="51D9C564"/>
    <w:multiLevelType w:val="hybridMultilevel"/>
    <w:lvl w:ilvl="0">
      <w:lvlJc w:val="left"/>
      <w:lvlText w:val="(%1)"/>
      <w:numFmt w:val="decimal"/>
      <w:start w:val="11"/>
    </w:lvl>
  </w:abstractNum>
  <w:abstractNum w:abstractNumId="66">
    <w:nsid w:val="613EFDC5"/>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67">
    <w:nsid w:val="BF72B1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68">
    <w:nsid w:val="11447B73"/>
    <w:multiLevelType w:val="hybridMultilevel"/>
    <w:lvl w:ilvl="0">
      <w:lvlJc w:val="left"/>
      <w:lvlText w:val="(%1)"/>
      <w:numFmt w:val="lowerRoman"/>
      <w:start w:val="1"/>
    </w:lvl>
  </w:abstractNum>
  <w:abstractNum w:abstractNumId="69">
    <w:nsid w:val="42963E5A"/>
    <w:multiLevelType w:val="hybridMultilevel"/>
    <w:lvl w:ilvl="0">
      <w:lvlJc w:val="left"/>
      <w:lvlText w:val="%1"/>
      <w:numFmt w:val="lowerRoman"/>
      <w:start w:val="1"/>
    </w:lvl>
    <w:lvl w:ilvl="1">
      <w:lvlJc w:val="left"/>
      <w:lvlText w:val="(%2)"/>
      <w:numFmt w:val="lowerRoman"/>
      <w:start w:val="2"/>
    </w:lvl>
  </w:abstractNum>
  <w:abstractNum w:abstractNumId="70">
    <w:nsid w:val="A0382C5"/>
    <w:multiLevelType w:val="hybridMultilevel"/>
    <w:lvl w:ilvl="0">
      <w:lvlJc w:val="left"/>
      <w:lvlText w:val="(%1)"/>
      <w:numFmt w:val="lowerRoman"/>
      <w:start w:val="2"/>
    </w:lvl>
    <w:lvl w:ilvl="1">
      <w:lvlJc w:val="left"/>
      <w:lvlText w:val="(%2)"/>
      <w:numFmt w:val="lowerRoman"/>
      <w:start w:val="3"/>
    </w:lvl>
  </w:abstractNum>
  <w:abstractNum w:abstractNumId="71">
    <w:nsid w:val="8F2B15E"/>
    <w:multiLevelType w:val="hybridMultilevel"/>
    <w:lvl w:ilvl="0">
      <w:lvlJc w:val="left"/>
      <w:lvlText w:val="%1"/>
      <w:numFmt w:val="decimal"/>
      <w:start w:val="1"/>
    </w:lvl>
    <w:lvl w:ilvl="1">
      <w:lvlJc w:val="left"/>
      <w:lvlText w:val="(%2)"/>
      <w:numFmt w:val="lowerLetter"/>
      <w:start w:val="3"/>
    </w:lvl>
  </w:abstractNum>
  <w:abstractNum w:abstractNumId="72">
    <w:nsid w:val="1A32234B"/>
    <w:multiLevelType w:val="hybridMultilevel"/>
    <w:lvl w:ilvl="0">
      <w:lvlJc w:val="left"/>
      <w:lvlText w:val="(%1)"/>
      <w:numFmt w:val="decimal"/>
      <w:start w:val="13"/>
    </w:lvl>
    <w:lvl w:ilvl="1">
      <w:lvlJc w:val="left"/>
      <w:lvlText w:val="(%2)"/>
      <w:numFmt w:val="lowerLetter"/>
      <w:start w:val="1"/>
    </w:lvl>
  </w:abstractNum>
  <w:abstractNum w:abstractNumId="73">
    <w:nsid w:val="3B0FD37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74">
    <w:nsid w:val="68EB2F63"/>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75">
    <w:nsid w:val="4962813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76">
    <w:nsid w:val="60B6DF70"/>
    <w:multiLevelType w:val="hybridMultilevel"/>
    <w:lvl w:ilvl="0">
      <w:lvlJc w:val="left"/>
      <w:lvlText w:val="(%1)"/>
      <w:numFmt w:val="lowerLetter"/>
      <w:start w:val="2"/>
    </w:lvl>
  </w:abstractNum>
  <w:abstractNum w:abstractNumId="77">
    <w:nsid w:val="6A5EE64"/>
    <w:multiLevelType w:val="hybridMultilevel"/>
    <w:lvl w:ilvl="0">
      <w:lvlJc w:val="left"/>
      <w:lvlText w:val="%1"/>
      <w:numFmt w:val="lowerLetter"/>
      <w:start w:val="1"/>
    </w:lvl>
    <w:lvl w:ilvl="1">
      <w:lvlJc w:val="left"/>
      <w:lvlText w:val="(%2)"/>
      <w:numFmt w:val="lowerLetter"/>
      <w:start w:val="11"/>
    </w:lvl>
  </w:abstractNum>
  <w:abstractNum w:abstractNumId="78">
    <w:nsid w:val="14330624"/>
    <w:multiLevelType w:val="hybridMultilevel"/>
    <w:lvl w:ilvl="0">
      <w:lvlJc w:val="left"/>
      <w:lvlText w:val="(%1)"/>
      <w:numFmt w:val="lowerLetter"/>
      <w:start w:val="9"/>
    </w:lvl>
    <w:lvl w:ilvl="1">
      <w:lvlJc w:val="left"/>
      <w:lvlText w:val="%2"/>
      <w:numFmt w:val="lowerLetter"/>
      <w:start w:val="1"/>
    </w:lvl>
  </w:abstractNum>
  <w:abstractNum w:abstractNumId="79">
    <w:nsid w:val="7FFFCA11"/>
    <w:multiLevelType w:val="hybridMultilevel"/>
    <w:lvl w:ilvl="0">
      <w:lvlJc w:val="left"/>
      <w:lvlText w:val="%1"/>
      <w:numFmt w:val="decimal"/>
      <w:start w:val="1"/>
    </w:lvl>
    <w:lvl w:ilvl="1">
      <w:lvlJc w:val="left"/>
      <w:lvlText w:val="(%2)"/>
      <w:numFmt w:val="lowerLetter"/>
      <w:start w:val="16"/>
    </w:lvl>
  </w:abstractNum>
  <w:abstractNum w:abstractNumId="80">
    <w:nsid w:val="1A27709E"/>
    <w:multiLevelType w:val="hybridMultilevel"/>
    <w:lvl w:ilvl="0">
      <w:lvlJc w:val="left"/>
      <w:lvlText w:val="(%1)"/>
      <w:numFmt w:val="decimal"/>
      <w:start w:val="15"/>
    </w:lvl>
    <w:lvl w:ilvl="1">
      <w:lvlJc w:val="left"/>
      <w:lvlText w:val="(%2)"/>
      <w:numFmt w:val="lowerLetter"/>
      <w:start w:val="1"/>
    </w:lvl>
  </w:abstractNum>
  <w:abstractNum w:abstractNumId="81">
    <w:nsid w:val="71EA1109"/>
    <w:multiLevelType w:val="hybridMultilevel"/>
    <w:lvl w:ilvl="0">
      <w:lvlJc w:val="left"/>
      <w:lvlText w:val="(%1)"/>
      <w:numFmt w:val="decimal"/>
      <w:start w:val="17"/>
    </w:lvl>
  </w:abstractNum>
  <w:abstractNum w:abstractNumId="82">
    <w:nsid w:val="100F59DC"/>
    <w:multiLevelType w:val="hybridMultilevel"/>
    <w:lvl w:ilvl="0">
      <w:lvlJc w:val="left"/>
      <w:lvlText w:val="(%1)"/>
      <w:numFmt w:val="decimal"/>
      <w:start w:val="18"/>
    </w:lvl>
  </w:abstractNum>
  <w:abstractNum w:abstractNumId="83">
    <w:nsid w:val="7FB7E0AA"/>
    <w:multiLevelType w:val="hybridMultilevel"/>
    <w:lvl w:ilvl="0">
      <w:lvlJc w:val="left"/>
      <w:lvlText w:val="(%1)"/>
      <w:numFmt w:val="decimal"/>
      <w:start w:val="20"/>
    </w:lvl>
  </w:abstractNum>
  <w:abstractNum w:abstractNumId="84">
    <w:nsid w:val="6EB5B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2026-06-17T15:46:10Z</dcterms:created>
  <dcterms:modified xsi:type="dcterms:W3CDTF">2026-06-17T15:46:10Z</dcterms:modified>
</cp:coreProperties>
</file>