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50521d424b5.htm"/>
        <w:bookmarkStart w:id="1" w:name="ksd150521d424b5"/>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424(b)(5)</w:t>
        <w:br/>
        <w:t xml:space="preserve">Registration No. 333-278050 </w:t>
      </w:r>
    </w:p>
    <w:p>
      <w:pPr>
        <w:pStyle w:val="TextBody"/>
        <w:bidi w:val="0"/>
        <w:spacing w:before="0" w:after="0"/>
        <w:jc w:val="left"/>
        <w:rPr/>
      </w:pPr>
      <w:r>
        <w:rPr/>
        <w:t> </w:t>
      </w:r>
    </w:p>
    <w:p>
      <w:pPr>
        <w:pStyle w:val="TextBody"/>
        <w:bidi w:val="0"/>
        <w:spacing w:before="0" w:after="0"/>
        <w:jc w:val="left"/>
        <w:rPr>
          <w:rFonts w:ascii="Times New Roman" w:hAnsi="Times New Roman"/>
          <w:i/>
          <w:sz w:val="18"/>
        </w:rPr>
      </w:pPr>
      <w:r>
        <w:rPr>
          <w:rFonts w:ascii="Times New Roman" w:hAnsi="Times New Roman"/>
          <w:i/>
          <w:sz w:val="18"/>
        </w:rPr>
        <w:t xml:space="preserve">PROSPECTUS SUPPLEMENT </w:t>
      </w:r>
    </w:p>
    <w:p>
      <w:pPr>
        <w:pStyle w:val="TextBody"/>
        <w:bidi w:val="0"/>
        <w:spacing w:before="0" w:after="0"/>
        <w:jc w:val="left"/>
        <w:rPr>
          <w:rFonts w:ascii="Times New Roman" w:hAnsi="Times New Roman"/>
          <w:b/>
          <w:i/>
          <w:sz w:val="18"/>
        </w:rPr>
      </w:pPr>
      <w:r>
        <w:rPr>
          <w:rFonts w:ascii="Times New Roman" w:hAnsi="Times New Roman"/>
          <w:b/>
          <w:i/>
          <w:sz w:val="18"/>
        </w:rPr>
        <w:t xml:space="preserve">(To Prospectus Dated March 19, 2024) </w:t>
      </w:r>
    </w:p>
    <w:p>
      <w:pPr>
        <w:pStyle w:val="TextBody"/>
        <w:bidi w:val="0"/>
        <w:spacing w:before="120" w:after="0"/>
        <w:jc w:val="center"/>
        <w:rPr>
          <w:rFonts w:ascii="Times New Roman" w:hAnsi="Times New Roman"/>
          <w:b/>
          <w:sz w:val="44"/>
        </w:rPr>
      </w:pPr>
      <w:r>
        <w:rPr>
          <w:rFonts w:ascii="Times New Roman" w:hAnsi="Times New Roman"/>
          <w:b/>
          <w:sz w:val="44"/>
        </w:rPr>
        <w:t xml:space="preserve">7,700,000 </w:t>
      </w:r>
    </w:p>
    <w:p>
      <w:pPr>
        <w:pStyle w:val="TextBody"/>
        <w:bidi w:val="0"/>
        <w:spacing w:before="120" w:after="0"/>
        <w:jc w:val="center"/>
        <w:rPr>
          <w:rFonts w:ascii="Times New Roman" w:hAnsi="Times New Roman"/>
          <w:b/>
          <w:sz w:val="44"/>
        </w:rPr>
      </w:pPr>
      <w:r>
        <w:rPr>
          <w:rFonts w:ascii="Times New Roman" w:hAnsi="Times New Roman"/>
          <w:b/>
          <w:sz w:val="44"/>
        </w:rPr>
        <w:t xml:space="preserve">American Depositary Shares </w:t>
      </w:r>
    </w:p>
    <w:p>
      <w:pPr>
        <w:pStyle w:val="TextBody"/>
        <w:bidi w:val="0"/>
        <w:spacing w:before="0" w:after="0"/>
        <w:jc w:val="center"/>
        <w:rPr/>
      </w:pPr>
      <w:r>
        <w:rPr/>
        <w:drawing>
          <wp:inline distT="0" distB="0" distL="0" distR="0">
            <wp:extent cx="3098800" cy="132778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098800" cy="1327785"/>
                    </a:xfrm>
                    <a:prstGeom prst="rect">
                      <a:avLst/>
                    </a:prstGeom>
                  </pic:spPr>
                </pic:pic>
              </a:graphicData>
            </a:graphic>
          </wp:inline>
        </w:drawing>
      </w:r>
      <w:r>
        <w:rPr/>
        <w:t xml:space="preserve"> </w:t>
      </w:r>
    </w:p>
    <w:p>
      <w:pPr>
        <w:pStyle w:val="TextBody"/>
        <w:bidi w:val="0"/>
        <w:spacing w:before="120" w:after="0"/>
        <w:jc w:val="center"/>
        <w:rPr>
          <w:rFonts w:ascii="Times New Roman" w:hAnsi="Times New Roman"/>
          <w:b/>
          <w:sz w:val="26"/>
        </w:rPr>
      </w:pPr>
      <w:r>
        <w:rPr>
          <w:rFonts w:ascii="Times New Roman" w:hAnsi="Times New Roman"/>
          <w:b/>
          <w:sz w:val="26"/>
        </w:rPr>
        <w:t xml:space="preserve">Representing 15,400,000 ordinary shares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18"/>
        </w:rPr>
      </w:pPr>
      <w:r>
        <w:rPr>
          <w:rFonts w:ascii="Times New Roman" w:hAnsi="Times New Roman"/>
          <w:sz w:val="18"/>
        </w:rPr>
        <w:t xml:space="preserve">Legend Biotech Corporation is offering 7,700,000 American Depositary Shares (“ADSs”) pursuant to this prospectus supplement and the accompanying prospectus. Each ADS represents two ordinary shares, $0.0001 par value per share. </w:t>
      </w:r>
    </w:p>
    <w:p>
      <w:pPr>
        <w:pStyle w:val="TextBody"/>
        <w:bidi w:val="0"/>
        <w:spacing w:before="120" w:after="0"/>
        <w:jc w:val="left"/>
        <w:rPr>
          <w:rFonts w:ascii="Times New Roman" w:hAnsi="Times New Roman"/>
          <w:sz w:val="18"/>
        </w:rPr>
      </w:pPr>
      <w:r>
        <w:rPr>
          <w:rFonts w:ascii="Times New Roman" w:hAnsi="Times New Roman"/>
          <w:sz w:val="18"/>
        </w:rPr>
        <w:t xml:space="preserve">Our ADSs are listed on The Nasdaq Global Select Market (“Nasdaq”) under the symbol “LEGN.” On June 17, 2026, the last reported sale price of our ADSs on Nasdaq was $33.52 per ADS. </w:t>
      </w:r>
    </w:p>
    <w:p>
      <w:pPr>
        <w:pStyle w:val="TextBody"/>
        <w:bidi w:val="0"/>
        <w:spacing w:before="120" w:after="0"/>
        <w:jc w:val="left"/>
        <w:rPr>
          <w:rFonts w:ascii="Times New Roman" w:hAnsi="Times New Roman"/>
          <w:sz w:val="18"/>
        </w:rPr>
      </w:pPr>
      <w:r>
        <w:rPr>
          <w:rFonts w:ascii="Times New Roman" w:hAnsi="Times New Roman"/>
          <w:sz w:val="18"/>
        </w:rPr>
        <w:t xml:space="preserve">We are a “foreign private issuer” under applicable U.S. federal securities laws and are eligible for reduced public company reporting requirements. See “Prospectus Supplement Summary—Implications of Being a Foreign Private Issuer” for additional information. </w:t>
      </w:r>
    </w:p>
    <w:p>
      <w:pPr>
        <w:pStyle w:val="TextBody"/>
        <w:bidi w:val="0"/>
        <w:spacing w:before="120" w:after="0"/>
        <w:jc w:val="left"/>
        <w:rPr/>
      </w:pPr>
      <w:r>
        <w:rPr>
          <w:rFonts w:ascii="Times New Roman" w:hAnsi="Times New Roman"/>
          <w:b/>
          <w:sz w:val="20"/>
        </w:rPr>
        <w:t>Investing in the ADSs involves risks. See “</w:t>
      </w:r>
      <w:hyperlink w:anchor="s150521_5">
        <w:r>
          <w:rPr>
            <w:rStyle w:val="InternetLink"/>
            <w:rFonts w:ascii="Times New Roman" w:hAnsi="Times New Roman"/>
            <w:b/>
            <w:sz w:val="20"/>
          </w:rPr>
          <w:t>Risk Factors</w:t>
        </w:r>
      </w:hyperlink>
      <w:r>
        <w:rPr>
          <w:rFonts w:ascii="Times New Roman" w:hAnsi="Times New Roman"/>
          <w:b/>
          <w:sz w:val="20"/>
        </w:rPr>
        <w:t xml:space="preserve">” beginning on page S-9 of this prospectus supplement and in our Annual Report on Form 20-F for the fiscal year ended December 31, 2025, as well as any amendment or update to our risk factors reflected in subsequent filings with the Securities and Exchange Commission.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b/>
          <w:sz w:val="18"/>
        </w:rPr>
      </w:pPr>
      <w:r>
        <w:rPr>
          <w:rFonts w:ascii="Times New Roman" w:hAnsi="Times New Roman"/>
          <w:b/>
          <w:sz w:val="18"/>
        </w:rPr>
        <w:t xml:space="preserve">Neither the Securities and Exchange Commission nor any other state securities commission has approved or disapproved of these securities or passed upon the accuracy or adequacy of this prospectus supplement or the accompanying prospectus.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592"/>
        <w:gridCol w:w="357"/>
        <w:gridCol w:w="140"/>
        <w:gridCol w:w="747"/>
        <w:gridCol w:w="60"/>
        <w:gridCol w:w="357"/>
        <w:gridCol w:w="140"/>
        <w:gridCol w:w="1298"/>
        <w:gridCol w:w="64"/>
      </w:tblGrid>
      <w:tr>
        <w:trPr/>
        <w:tc>
          <w:tcPr>
            <w:tcW w:w="4592" w:type="dxa"/>
            <w:tcBorders/>
            <w:vAlign w:val="center"/>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592"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887" w:type="dxa"/>
            <w:gridSpan w:val="2"/>
            <w:tcBorders>
              <w:bottom w:val="single" w:sz="8" w:space="0" w:color="000000"/>
            </w:tcBorders>
            <w:tcMar>
              <w:bottom w:w="28" w:type="dxa"/>
            </w:tcMar>
            <w:vAlign w:val="bottom"/>
          </w:tcPr>
          <w:p>
            <w:pPr>
              <w:pStyle w:val="TableContents"/>
              <w:bidi w:val="0"/>
              <w:spacing w:before="0" w:after="283"/>
              <w:jc w:val="center"/>
              <w:rPr>
                <w:b/>
                <w:i/>
              </w:rPr>
            </w:pPr>
            <w:r>
              <w:rPr>
                <w:b/>
                <w:i/>
              </w:rPr>
              <w:t>Per ADS</w:t>
            </w:r>
          </w:p>
        </w:tc>
        <w:tc>
          <w:tcPr>
            <w:tcW w:w="60"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438" w:type="dxa"/>
            <w:gridSpan w:val="2"/>
            <w:tcBorders>
              <w:bottom w:val="single" w:sz="8" w:space="0" w:color="000000"/>
            </w:tcBorders>
            <w:tcMar>
              <w:bottom w:w="28" w:type="dxa"/>
            </w:tcMar>
            <w:vAlign w:val="bottom"/>
          </w:tcPr>
          <w:p>
            <w:pPr>
              <w:pStyle w:val="TableContents"/>
              <w:bidi w:val="0"/>
              <w:spacing w:before="0" w:after="283"/>
              <w:jc w:val="center"/>
              <w:rPr>
                <w:b/>
                <w:i/>
              </w:rPr>
            </w:pPr>
            <w:r>
              <w:rPr>
                <w:b/>
                <w:i/>
              </w:rPr>
              <w:t>Total</w:t>
            </w:r>
          </w:p>
        </w:tc>
        <w:tc>
          <w:tcPr>
            <w:tcW w:w="64" w:type="dxa"/>
            <w:tcBorders/>
            <w:vAlign w:val="bottom"/>
          </w:tcPr>
          <w:p>
            <w:pPr>
              <w:pStyle w:val="TableContents"/>
              <w:bidi w:val="0"/>
              <w:spacing w:before="0" w:after="283"/>
              <w:jc w:val="left"/>
              <w:rPr/>
            </w:pPr>
            <w:r>
              <w:rPr/>
              <w:t> </w:t>
            </w:r>
          </w:p>
        </w:tc>
      </w:tr>
      <w:tr>
        <w:trPr/>
        <w:tc>
          <w:tcPr>
            <w:tcW w:w="4592" w:type="dxa"/>
            <w:tcBorders/>
            <w:shd w:fill="CCEEFF" w:val="clear"/>
          </w:tcPr>
          <w:p>
            <w:pPr>
              <w:pStyle w:val="TableContents"/>
              <w:bidi w:val="0"/>
              <w:spacing w:before="0" w:after="0"/>
              <w:jc w:val="left"/>
              <w:rPr>
                <w:rFonts w:ascii="Times New Roman" w:hAnsi="Times New Roman"/>
                <w:i/>
                <w:sz w:val="18"/>
              </w:rPr>
            </w:pPr>
            <w:r>
              <w:rPr>
                <w:rFonts w:ascii="Times New Roman" w:hAnsi="Times New Roman"/>
                <w:i/>
                <w:sz w:val="18"/>
              </w:rPr>
              <w:t>Initial price to public</w:t>
            </w:r>
          </w:p>
        </w:tc>
        <w:tc>
          <w:tcPr>
            <w:tcW w:w="3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i/>
              </w:rPr>
            </w:pPr>
            <w:r>
              <w:rPr>
                <w:i/>
              </w:rPr>
              <w:t>$</w:t>
            </w:r>
          </w:p>
        </w:tc>
        <w:tc>
          <w:tcPr>
            <w:tcW w:w="747" w:type="dxa"/>
            <w:tcBorders/>
            <w:shd w:fill="CCEEFF" w:val="clear"/>
            <w:vAlign w:val="bottom"/>
          </w:tcPr>
          <w:p>
            <w:pPr>
              <w:pStyle w:val="TableContents"/>
              <w:bidi w:val="0"/>
              <w:spacing w:before="0" w:after="283"/>
              <w:jc w:val="right"/>
              <w:rPr>
                <w:i/>
              </w:rPr>
            </w:pPr>
            <w:r>
              <w:rPr>
                <w:i/>
              </w:rPr>
              <w:t>29.35</w:t>
            </w:r>
          </w:p>
        </w:tc>
        <w:tc>
          <w:tcPr>
            <w:tcW w:w="60"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i/>
              </w:rPr>
            </w:pPr>
            <w:r>
              <w:rPr>
                <w:i/>
              </w:rPr>
              <w:t>$</w:t>
            </w:r>
          </w:p>
        </w:tc>
        <w:tc>
          <w:tcPr>
            <w:tcW w:w="1298" w:type="dxa"/>
            <w:tcBorders/>
            <w:shd w:fill="CCEEFF" w:val="clear"/>
            <w:vAlign w:val="bottom"/>
          </w:tcPr>
          <w:p>
            <w:pPr>
              <w:pStyle w:val="TableContents"/>
              <w:bidi w:val="0"/>
              <w:spacing w:before="0" w:after="283"/>
              <w:jc w:val="right"/>
              <w:rPr>
                <w:i/>
              </w:rPr>
            </w:pPr>
            <w:r>
              <w:rPr>
                <w:i/>
              </w:rPr>
              <w:t>225,995,000</w:t>
            </w:r>
          </w:p>
        </w:tc>
        <w:tc>
          <w:tcPr>
            <w:tcW w:w="64" w:type="dxa"/>
            <w:tcBorders/>
            <w:shd w:fill="CCEEFF" w:val="clear"/>
            <w:vAlign w:val="bottom"/>
          </w:tcPr>
          <w:p>
            <w:pPr>
              <w:pStyle w:val="TableContents"/>
              <w:bidi w:val="0"/>
              <w:spacing w:before="0" w:after="283"/>
              <w:jc w:val="left"/>
              <w:rPr/>
            </w:pPr>
            <w:r>
              <w:rPr/>
              <w:t> </w:t>
            </w:r>
          </w:p>
        </w:tc>
      </w:tr>
      <w:tr>
        <w:trPr/>
        <w:tc>
          <w:tcPr>
            <w:tcW w:w="4592" w:type="dxa"/>
            <w:tcBorders/>
          </w:tcPr>
          <w:p>
            <w:pPr>
              <w:pStyle w:val="TableContents"/>
              <w:bidi w:val="0"/>
              <w:spacing w:before="0" w:after="0"/>
              <w:jc w:val="left"/>
              <w:rPr>
                <w:rFonts w:ascii="Times New Roman" w:hAnsi="Times New Roman"/>
                <w:i/>
                <w:sz w:val="18"/>
              </w:rPr>
            </w:pPr>
            <w:r>
              <w:rPr>
                <w:rFonts w:ascii="Times New Roman" w:hAnsi="Times New Roman"/>
                <w:i/>
                <w:sz w:val="18"/>
              </w:rPr>
              <w:t>Underwriting discount(1)</w:t>
            </w:r>
          </w:p>
        </w:tc>
        <w:tc>
          <w:tcPr>
            <w:tcW w:w="3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i/>
              </w:rPr>
            </w:pPr>
            <w:r>
              <w:rPr>
                <w:i/>
              </w:rPr>
              <w:t>$</w:t>
            </w:r>
          </w:p>
        </w:tc>
        <w:tc>
          <w:tcPr>
            <w:tcW w:w="747" w:type="dxa"/>
            <w:tcBorders/>
            <w:vAlign w:val="bottom"/>
          </w:tcPr>
          <w:p>
            <w:pPr>
              <w:pStyle w:val="TableContents"/>
              <w:bidi w:val="0"/>
              <w:spacing w:before="0" w:after="283"/>
              <w:jc w:val="right"/>
              <w:rPr>
                <w:i/>
              </w:rPr>
            </w:pPr>
            <w:r>
              <w:rPr>
                <w:i/>
              </w:rPr>
              <w:t>1.761</w:t>
            </w:r>
          </w:p>
        </w:tc>
        <w:tc>
          <w:tcPr>
            <w:tcW w:w="60" w:type="dxa"/>
            <w:tcBorders/>
            <w:vAlign w:val="bottom"/>
          </w:tcPr>
          <w:p>
            <w:pPr>
              <w:pStyle w:val="TableContents"/>
              <w:bidi w:val="0"/>
              <w:spacing w:before="0" w:after="283"/>
              <w:jc w:val="left"/>
              <w:rPr/>
            </w:pPr>
            <w:r>
              <w:rPr/>
              <w:t> </w:t>
            </w:r>
          </w:p>
        </w:tc>
        <w:tc>
          <w:tcPr>
            <w:tcW w:w="35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i/>
              </w:rPr>
            </w:pPr>
            <w:r>
              <w:rPr>
                <w:i/>
              </w:rPr>
              <w:t>$</w:t>
            </w:r>
          </w:p>
        </w:tc>
        <w:tc>
          <w:tcPr>
            <w:tcW w:w="1298" w:type="dxa"/>
            <w:tcBorders/>
            <w:vAlign w:val="bottom"/>
          </w:tcPr>
          <w:p>
            <w:pPr>
              <w:pStyle w:val="TableContents"/>
              <w:bidi w:val="0"/>
              <w:spacing w:before="0" w:after="283"/>
              <w:jc w:val="right"/>
              <w:rPr>
                <w:i/>
              </w:rPr>
            </w:pPr>
            <w:r>
              <w:rPr>
                <w:i/>
              </w:rPr>
              <w:t>13,559,700</w:t>
            </w:r>
          </w:p>
        </w:tc>
        <w:tc>
          <w:tcPr>
            <w:tcW w:w="64" w:type="dxa"/>
            <w:tcBorders/>
            <w:vAlign w:val="bottom"/>
          </w:tcPr>
          <w:p>
            <w:pPr>
              <w:pStyle w:val="TableContents"/>
              <w:bidi w:val="0"/>
              <w:spacing w:before="0" w:after="283"/>
              <w:jc w:val="left"/>
              <w:rPr/>
            </w:pPr>
            <w:r>
              <w:rPr/>
              <w:t> </w:t>
            </w:r>
          </w:p>
        </w:tc>
      </w:tr>
      <w:tr>
        <w:trPr/>
        <w:tc>
          <w:tcPr>
            <w:tcW w:w="4592" w:type="dxa"/>
            <w:tcBorders/>
            <w:shd w:fill="CCEEFF" w:val="clear"/>
          </w:tcPr>
          <w:p>
            <w:pPr>
              <w:pStyle w:val="TableContents"/>
              <w:bidi w:val="0"/>
              <w:spacing w:before="0" w:after="0"/>
              <w:jc w:val="left"/>
              <w:rPr>
                <w:rFonts w:ascii="Times New Roman" w:hAnsi="Times New Roman"/>
                <w:i/>
                <w:sz w:val="18"/>
              </w:rPr>
            </w:pPr>
            <w:r>
              <w:rPr>
                <w:rFonts w:ascii="Times New Roman" w:hAnsi="Times New Roman"/>
                <w:i/>
                <w:sz w:val="18"/>
              </w:rPr>
              <w:t>Proceeds, before expenses, to us</w:t>
            </w:r>
          </w:p>
        </w:tc>
        <w:tc>
          <w:tcPr>
            <w:tcW w:w="3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i/>
              </w:rPr>
            </w:pPr>
            <w:r>
              <w:rPr>
                <w:i/>
              </w:rPr>
              <w:t>$</w:t>
            </w:r>
          </w:p>
        </w:tc>
        <w:tc>
          <w:tcPr>
            <w:tcW w:w="747" w:type="dxa"/>
            <w:tcBorders/>
            <w:shd w:fill="CCEEFF" w:val="clear"/>
            <w:vAlign w:val="bottom"/>
          </w:tcPr>
          <w:p>
            <w:pPr>
              <w:pStyle w:val="TableContents"/>
              <w:bidi w:val="0"/>
              <w:spacing w:before="0" w:after="283"/>
              <w:jc w:val="right"/>
              <w:rPr>
                <w:i/>
              </w:rPr>
            </w:pPr>
            <w:r>
              <w:rPr>
                <w:i/>
              </w:rPr>
              <w:t>27.589</w:t>
            </w:r>
          </w:p>
        </w:tc>
        <w:tc>
          <w:tcPr>
            <w:tcW w:w="60" w:type="dxa"/>
            <w:tcBorders/>
            <w:shd w:fill="CCEEFF" w:val="clear"/>
            <w:vAlign w:val="bottom"/>
          </w:tcPr>
          <w:p>
            <w:pPr>
              <w:pStyle w:val="TableContents"/>
              <w:bidi w:val="0"/>
              <w:spacing w:before="0" w:after="283"/>
              <w:jc w:val="left"/>
              <w:rPr/>
            </w:pPr>
            <w:r>
              <w:rPr/>
              <w:t> </w:t>
            </w:r>
          </w:p>
        </w:tc>
        <w:tc>
          <w:tcPr>
            <w:tcW w:w="3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i/>
              </w:rPr>
            </w:pPr>
            <w:r>
              <w:rPr>
                <w:i/>
              </w:rPr>
              <w:t>$</w:t>
            </w:r>
          </w:p>
        </w:tc>
        <w:tc>
          <w:tcPr>
            <w:tcW w:w="1298" w:type="dxa"/>
            <w:tcBorders/>
            <w:shd w:fill="CCEEFF" w:val="clear"/>
            <w:vAlign w:val="bottom"/>
          </w:tcPr>
          <w:p>
            <w:pPr>
              <w:pStyle w:val="TableContents"/>
              <w:bidi w:val="0"/>
              <w:spacing w:before="0" w:after="283"/>
              <w:jc w:val="right"/>
              <w:rPr>
                <w:i/>
              </w:rPr>
            </w:pPr>
            <w:r>
              <w:rPr>
                <w:i/>
              </w:rPr>
              <w:t>212,435,300</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i/>
              </w:rPr>
            </w:pPr>
            <w:r>
              <w:rPr>
                <w:i/>
              </w:rPr>
              <w:t>(1) </w:t>
            </w:r>
          </w:p>
        </w:tc>
        <w:tc>
          <w:tcPr>
            <w:tcW w:w="9798" w:type="dxa"/>
            <w:tcBorders/>
          </w:tcPr>
          <w:p>
            <w:pPr>
              <w:pStyle w:val="TableContents"/>
              <w:bidi w:val="0"/>
              <w:spacing w:before="0" w:after="0"/>
              <w:jc w:val="left"/>
              <w:rPr>
                <w:rFonts w:ascii="Times New Roman" w:hAnsi="Times New Roman"/>
                <w:i/>
                <w:sz w:val="18"/>
              </w:rPr>
            </w:pPr>
            <w:r>
              <w:rPr>
                <w:rFonts w:ascii="Times New Roman" w:hAnsi="Times New Roman"/>
                <w:i/>
                <w:sz w:val="18"/>
              </w:rPr>
              <w:t xml:space="preserve">See “Underwriters” for a description of the compensation payable to the underwriters. </w:t>
            </w:r>
          </w:p>
        </w:tc>
      </w:tr>
    </w:tbl>
    <w:p>
      <w:pPr>
        <w:pStyle w:val="TextBody"/>
        <w:bidi w:val="0"/>
        <w:spacing w:before="120" w:after="0"/>
        <w:jc w:val="left"/>
        <w:rPr>
          <w:rFonts w:ascii="Times New Roman" w:hAnsi="Times New Roman"/>
          <w:i/>
          <w:sz w:val="18"/>
        </w:rPr>
      </w:pPr>
      <w:r>
        <w:rPr>
          <w:rFonts w:ascii="Times New Roman" w:hAnsi="Times New Roman"/>
          <w:i/>
          <w:sz w:val="18"/>
        </w:rPr>
        <w:t xml:space="preserve">We have granted the underwriters the right to purchase up to an additional 1,155,000 ADSs from us at the public offering price, less underwriting discounts and commissions. </w:t>
      </w:r>
    </w:p>
    <w:p>
      <w:pPr>
        <w:pStyle w:val="TextBody"/>
        <w:bidi w:val="0"/>
        <w:spacing w:before="120" w:after="0"/>
        <w:jc w:val="left"/>
        <w:rPr>
          <w:rFonts w:ascii="Times New Roman" w:hAnsi="Times New Roman"/>
          <w:i/>
          <w:sz w:val="18"/>
        </w:rPr>
      </w:pPr>
      <w:r>
        <w:rPr>
          <w:rFonts w:ascii="Times New Roman" w:hAnsi="Times New Roman"/>
          <w:i/>
          <w:sz w:val="18"/>
        </w:rPr>
        <w:t xml:space="preserve">The underwriters expect to deliver the ADSs against payment in New York, New York on or about June 23, 2026, which is the second business day following the first trading date of the ADSs (this settlement cycle being referred to as “T+2”). Under Rule 15c6-1 of the Exchange Act, trades in the secondary market generally are required to settle in one business day, unless the parties to any such trade expressly agree otherwise. Accordingly, purchasers who wish to trade the ADSs on any day prior to the business day before delivery will be required, by virtue of the fact that the ADSs initially will settle in T+2, to specify an alternate settlement cycle at the time of any such trade to prevent a failed settlement. Purchasers of ADSs who wish to make such trades should consult their own advisors.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i/>
          <w:sz w:val="20"/>
        </w:rPr>
      </w:pPr>
      <w:r>
        <w:rPr>
          <w:rFonts w:ascii="Times New Roman" w:hAnsi="Times New Roman"/>
          <w:b/>
          <w:i/>
          <w:sz w:val="20"/>
        </w:rPr>
        <w:t xml:space="preserve">Joint Bookrunners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47"/>
        <w:gridCol w:w="101"/>
        <w:gridCol w:w="1838"/>
        <w:gridCol w:w="101"/>
        <w:gridCol w:w="2041"/>
        <w:gridCol w:w="102"/>
        <w:gridCol w:w="3675"/>
      </w:tblGrid>
      <w:tr>
        <w:trPr/>
        <w:tc>
          <w:tcPr>
            <w:tcW w:w="234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675"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2347" w:type="dxa"/>
            <w:tcBorders/>
            <w:vAlign w:val="center"/>
          </w:tcPr>
          <w:p>
            <w:pPr>
              <w:pStyle w:val="TableContents"/>
              <w:bidi w:val="0"/>
              <w:spacing w:before="0" w:after="283"/>
              <w:jc w:val="left"/>
              <w:rPr>
                <w:sz w:val="4"/>
                <w:szCs w:val="4"/>
              </w:rPr>
            </w:pPr>
            <w:r>
              <w:rPr>
                <w:sz w:val="4"/>
                <w:szCs w:val="4"/>
              </w:rPr>
            </w:r>
          </w:p>
        </w:tc>
        <w:tc>
          <w:tcPr>
            <w:tcW w:w="1939" w:type="dxa"/>
            <w:gridSpan w:val="2"/>
            <w:tcBorders/>
            <w:vAlign w:val="center"/>
          </w:tcPr>
          <w:p>
            <w:pPr>
              <w:pStyle w:val="TableContents"/>
              <w:bidi w:val="0"/>
              <w:spacing w:before="0" w:after="283"/>
              <w:jc w:val="left"/>
              <w:rPr>
                <w:sz w:val="4"/>
                <w:szCs w:val="4"/>
              </w:rPr>
            </w:pPr>
            <w:r>
              <w:rPr>
                <w:sz w:val="4"/>
                <w:szCs w:val="4"/>
              </w:rPr>
            </w:r>
          </w:p>
        </w:tc>
        <w:tc>
          <w:tcPr>
            <w:tcW w:w="2142" w:type="dxa"/>
            <w:gridSpan w:val="2"/>
            <w:tcBorders/>
            <w:vAlign w:val="center"/>
          </w:tcPr>
          <w:p>
            <w:pPr>
              <w:pStyle w:val="TableContents"/>
              <w:bidi w:val="0"/>
              <w:spacing w:before="0" w:after="283"/>
              <w:jc w:val="left"/>
              <w:rPr>
                <w:sz w:val="4"/>
                <w:szCs w:val="4"/>
              </w:rPr>
            </w:pPr>
            <w:r>
              <w:rPr>
                <w:sz w:val="4"/>
                <w:szCs w:val="4"/>
              </w:rPr>
            </w:r>
          </w:p>
        </w:tc>
        <w:tc>
          <w:tcPr>
            <w:tcW w:w="3777" w:type="dxa"/>
            <w:gridSpan w:val="2"/>
            <w:tcBorders/>
            <w:vAlign w:val="center"/>
          </w:tcPr>
          <w:p>
            <w:pPr>
              <w:pStyle w:val="TableContents"/>
              <w:bidi w:val="0"/>
              <w:spacing w:before="0" w:after="283"/>
              <w:jc w:val="left"/>
              <w:rPr>
                <w:sz w:val="4"/>
                <w:szCs w:val="4"/>
              </w:rPr>
            </w:pPr>
            <w:r>
              <w:rPr>
                <w:sz w:val="4"/>
                <w:szCs w:val="4"/>
              </w:rPr>
            </w:r>
          </w:p>
        </w:tc>
      </w:tr>
      <w:tr>
        <w:trPr/>
        <w:tc>
          <w:tcPr>
            <w:tcW w:w="2347" w:type="dxa"/>
            <w:tcBorders/>
          </w:tcPr>
          <w:p>
            <w:pPr>
              <w:pStyle w:val="TableContents"/>
              <w:bidi w:val="0"/>
              <w:spacing w:before="0" w:after="283"/>
              <w:jc w:val="left"/>
              <w:rPr>
                <w:b/>
              </w:rPr>
            </w:pPr>
            <w:r>
              <w:rPr>
                <w:b/>
              </w:rPr>
              <w:t>Morgan Stanley</w:t>
            </w:r>
          </w:p>
        </w:tc>
        <w:tc>
          <w:tcPr>
            <w:tcW w:w="101" w:type="dxa"/>
            <w:tcBorders/>
            <w:vAlign w:val="bottom"/>
          </w:tcPr>
          <w:p>
            <w:pPr>
              <w:pStyle w:val="TableContents"/>
              <w:bidi w:val="0"/>
              <w:spacing w:before="0" w:after="283"/>
              <w:jc w:val="left"/>
              <w:rPr/>
            </w:pPr>
            <w:r>
              <w:rPr/>
              <w:t> </w:t>
            </w:r>
          </w:p>
        </w:tc>
        <w:tc>
          <w:tcPr>
            <w:tcW w:w="1838" w:type="dxa"/>
            <w:tcBorders/>
          </w:tcPr>
          <w:p>
            <w:pPr>
              <w:pStyle w:val="TableContents"/>
              <w:bidi w:val="0"/>
              <w:spacing w:before="0" w:after="283"/>
              <w:jc w:val="right"/>
              <w:rPr>
                <w:b/>
              </w:rPr>
            </w:pPr>
            <w:r>
              <w:rPr>
                <w:b/>
              </w:rPr>
              <w:t>Jefferies</w:t>
            </w:r>
          </w:p>
        </w:tc>
        <w:tc>
          <w:tcPr>
            <w:tcW w:w="101" w:type="dxa"/>
            <w:tcBorders/>
            <w:vAlign w:val="bottom"/>
          </w:tcPr>
          <w:p>
            <w:pPr>
              <w:pStyle w:val="TableContents"/>
              <w:bidi w:val="0"/>
              <w:spacing w:before="0" w:after="283"/>
              <w:jc w:val="left"/>
              <w:rPr/>
            </w:pPr>
            <w:r>
              <w:rPr/>
              <w:t> </w:t>
            </w:r>
          </w:p>
        </w:tc>
        <w:tc>
          <w:tcPr>
            <w:tcW w:w="2041" w:type="dxa"/>
            <w:tcBorders/>
          </w:tcPr>
          <w:p>
            <w:pPr>
              <w:pStyle w:val="TableContents"/>
              <w:bidi w:val="0"/>
              <w:spacing w:before="0" w:after="283"/>
              <w:jc w:val="right"/>
              <w:rPr>
                <w:b/>
              </w:rPr>
            </w:pPr>
            <w:r>
              <w:rPr>
                <w:b/>
              </w:rPr>
              <w:t>Citigroup</w:t>
            </w:r>
          </w:p>
        </w:tc>
        <w:tc>
          <w:tcPr>
            <w:tcW w:w="102" w:type="dxa"/>
            <w:tcBorders/>
            <w:vAlign w:val="bottom"/>
          </w:tcPr>
          <w:p>
            <w:pPr>
              <w:pStyle w:val="TableContents"/>
              <w:bidi w:val="0"/>
              <w:spacing w:before="0" w:after="283"/>
              <w:jc w:val="left"/>
              <w:rPr/>
            </w:pPr>
            <w:r>
              <w:rPr/>
              <w:t> </w:t>
            </w:r>
          </w:p>
        </w:tc>
        <w:tc>
          <w:tcPr>
            <w:tcW w:w="3675" w:type="dxa"/>
            <w:tcBorders/>
          </w:tcPr>
          <w:p>
            <w:pPr>
              <w:pStyle w:val="TableContents"/>
              <w:bidi w:val="0"/>
              <w:spacing w:before="0" w:after="283"/>
              <w:jc w:val="right"/>
              <w:rPr>
                <w:b/>
              </w:rPr>
            </w:pPr>
            <w:r>
              <w:rPr>
                <w:b/>
              </w:rPr>
              <w:t>Deutsche Bank Securities</w:t>
            </w:r>
          </w:p>
        </w:tc>
      </w:tr>
    </w:tbl>
    <w:p>
      <w:pPr>
        <w:pStyle w:val="TextBody"/>
        <w:bidi w:val="0"/>
        <w:spacing w:before="120" w:after="0"/>
        <w:jc w:val="center"/>
        <w:rPr>
          <w:rFonts w:ascii="Times New Roman" w:hAnsi="Times New Roman"/>
          <w:b/>
          <w:sz w:val="18"/>
        </w:rPr>
      </w:pPr>
      <w:r>
        <w:rPr>
          <w:rFonts w:ascii="Times New Roman" w:hAnsi="Times New Roman"/>
          <w:b/>
          <w:sz w:val="18"/>
        </w:rPr>
        <w:t xml:space="preserve">June 17,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12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150521_1">
              <w:r>
                <w:rPr>
                  <w:rStyle w:val="InternetLink"/>
                  <w:rFonts w:ascii="Times New Roman" w:hAnsi="Times New Roman"/>
                  <w:sz w:val="20"/>
                </w:rPr>
                <w:t>ABOUT THIS PROSPECTUS SUPPLEMENT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S-iii</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150521_2">
              <w:r>
                <w:rPr>
                  <w:rStyle w:val="InternetLink"/>
                  <w:rFonts w:ascii="Times New Roman" w:hAnsi="Times New Roman"/>
                  <w:sz w:val="20"/>
                </w:rPr>
                <w:t>MARKET, INDUSTRY AND OTHER DATA</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S-iv</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150521_3">
              <w:r>
                <w:rPr>
                  <w:rStyle w:val="InternetLink"/>
                  <w:rFonts w:ascii="Times New Roman" w:hAnsi="Times New Roman"/>
                  <w:sz w:val="20"/>
                </w:rPr>
                <w:t>SPECIAL NOTE REGARDING 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S-v</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150521_4">
              <w:r>
                <w:rPr>
                  <w:rStyle w:val="InternetLink"/>
                  <w:rFonts w:ascii="Times New Roman" w:hAnsi="Times New Roman"/>
                  <w:sz w:val="20"/>
                </w:rPr>
                <w:t>PROSPECTUS SUPPLEMENT 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150521_5">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S-9</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150521_6">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S-17</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150521_7">
              <w:r>
                <w:rPr>
                  <w:rStyle w:val="InternetLink"/>
                  <w:rFonts w:ascii="Times New Roman" w:hAnsi="Times New Roman"/>
                  <w:sz w:val="20"/>
                </w:rPr>
                <w:t>DIVIDEND POLICY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S-18</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150521_8">
              <w:r>
                <w:rPr>
                  <w:rStyle w:val="InternetLink"/>
                  <w:rFonts w:ascii="Times New Roman" w:hAnsi="Times New Roman"/>
                  <w:sz w:val="20"/>
                </w:rPr>
                <w:t>DILUTION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S-19</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150521_9">
              <w:r>
                <w:rPr>
                  <w:rStyle w:val="InternetLink"/>
                  <w:rFonts w:ascii="Times New Roman" w:hAnsi="Times New Roman"/>
                  <w:sz w:val="20"/>
                </w:rPr>
                <w:t>UNDERWRITERS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S-21</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150521_10">
              <w:r>
                <w:rPr>
                  <w:rStyle w:val="InternetLink"/>
                  <w:rFonts w:ascii="Times New Roman" w:hAnsi="Times New Roman"/>
                  <w:sz w:val="20"/>
                </w:rPr>
                <w:t>MATERIAL INCOME TAX CONSIDERATIONS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S-34</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150521_11">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S-40</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150521_12">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S-40</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150521_13">
              <w:r>
                <w:rPr>
                  <w:rStyle w:val="InternetLink"/>
                  <w:rFonts w:ascii="Times New Roman" w:hAnsi="Times New Roman"/>
                  <w:sz w:val="20"/>
                </w:rPr>
                <w:t>WHERE YOU CAN FIND MORE INFORMATION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S-41</w:t>
            </w:r>
          </w:p>
        </w:tc>
        <w:tc>
          <w:tcPr>
            <w:tcW w:w="62" w:type="dxa"/>
            <w:tcBorders/>
            <w:vAlign w:val="bottom"/>
          </w:tcPr>
          <w:p>
            <w:pPr>
              <w:pStyle w:val="TableContents"/>
              <w:bidi w:val="0"/>
              <w:spacing w:before="0" w:after="283"/>
              <w:jc w:val="left"/>
              <w:rPr/>
            </w:pPr>
            <w:r>
              <w:rPr/>
              <w:t> </w:t>
            </w:r>
          </w:p>
        </w:tc>
      </w:tr>
      <w:tr>
        <w:trPr/>
        <w:tc>
          <w:tcPr>
            <w:tcW w:w="9460" w:type="dxa"/>
            <w:tcBorders/>
          </w:tcPr>
          <w:p>
            <w:pPr>
              <w:pStyle w:val="TableContents"/>
              <w:bidi w:val="0"/>
              <w:spacing w:before="0" w:after="0"/>
              <w:jc w:val="left"/>
              <w:rPr/>
            </w:pPr>
            <w:hyperlink w:anchor="s150521_14">
              <w:r>
                <w:rPr>
                  <w:rStyle w:val="InternetLink"/>
                  <w:rFonts w:ascii="Times New Roman" w:hAnsi="Times New Roman"/>
                  <w:sz w:val="20"/>
                </w:rPr>
                <w:t>INCORPORATION OF DOCUMENTS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S-42</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50521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50521_2">
              <w:r>
                <w:rPr>
                  <w:rStyle w:val="InternetLink"/>
                  <w:rFonts w:ascii="Times New Roman" w:hAnsi="Times New Roman"/>
                  <w:sz w:val="20"/>
                </w:rPr>
                <w:t>CAUTIONARY STATEMENT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50521_3">
              <w:r>
                <w:rPr>
                  <w:rStyle w:val="InternetLink"/>
                  <w:rFonts w:ascii="Times New Roman" w:hAnsi="Times New Roman"/>
                  <w:sz w:val="20"/>
                </w:rPr>
                <w:t>PROSPECTUS SUMMARY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50521_4">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50521_5">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50521_6">
              <w:r>
                <w:rPr>
                  <w:rStyle w:val="InternetLink"/>
                  <w:rFonts w:ascii="Times New Roman" w:hAnsi="Times New Roman"/>
                  <w:sz w:val="20"/>
                </w:rPr>
                <w:t>DESCRIPTION OF SHARE CAPITAL AND ARTICLES OF ASSOCIATION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50521_7">
              <w:r>
                <w:rPr>
                  <w:rStyle w:val="InternetLink"/>
                  <w:rFonts w:ascii="Times New Roman" w:hAnsi="Times New Roman"/>
                  <w:sz w:val="20"/>
                </w:rPr>
                <w:t>DESCRIPTION OF AMERICAN DEPOSITARY SHARES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50521_8">
              <w:r>
                <w:rPr>
                  <w:rStyle w:val="InternetLink"/>
                  <w:rFonts w:ascii="Times New Roman" w:hAnsi="Times New Roman"/>
                  <w:sz w:val="20"/>
                </w:rPr>
                <w:t>DESCRIPTION OF DEBT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39</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50521_9">
              <w:r>
                <w:rPr>
                  <w:rStyle w:val="InternetLink"/>
                  <w:rFonts w:ascii="Times New Roman" w:hAnsi="Times New Roman"/>
                  <w:sz w:val="20"/>
                </w:rPr>
                <w:t>DESCRIPTION OF WARRANTS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46</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50521_10">
              <w:r>
                <w:rPr>
                  <w:rStyle w:val="InternetLink"/>
                  <w:rFonts w:ascii="Times New Roman" w:hAnsi="Times New Roman"/>
                  <w:sz w:val="20"/>
                </w:rPr>
                <w:t>ENFORCEABILITY OF CIVIL LIABILITIES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47</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50521_11">
              <w:r>
                <w:rPr>
                  <w:rStyle w:val="InternetLink"/>
                  <w:rFonts w:ascii="Times New Roman" w:hAnsi="Times New Roman"/>
                  <w:sz w:val="20"/>
                </w:rPr>
                <w:t>TAXATION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49</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50521_12">
              <w:r>
                <w:rPr>
                  <w:rStyle w:val="InternetLink"/>
                  <w:rFonts w:ascii="Times New Roman" w:hAnsi="Times New Roman"/>
                  <w:sz w:val="20"/>
                </w:rPr>
                <w:t>SELLING SHAREHOLDERS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50</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50521_13">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50521_14">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53</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50521_15">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53</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50521_16">
              <w:r>
                <w:rPr>
                  <w:rStyle w:val="InternetLink"/>
                  <w:rFonts w:ascii="Times New Roman" w:hAnsi="Times New Roman"/>
                  <w:sz w:val="20"/>
                </w:rPr>
                <w:t>WHERE YOU CAN FIND MORE INFORMATION ABOUT 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50521_17">
              <w:r>
                <w:rPr>
                  <w:rStyle w:val="InternetLink"/>
                  <w:rFonts w:ascii="Times New Roman" w:hAnsi="Times New Roman"/>
                  <w:sz w:val="20"/>
                </w:rPr>
                <w:t>INCORPORATION OF DOCUMENTS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55</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Neither we nor any agent, underwriter or dealer has authorized any person to give any information or to make any representation other than those contained or incorporated by reference in this prospectus supplement, the accompanying prospectus or any related free writing prospectus prepared by or on behalf of us or to which we have referred you. This prospectus supplement, the accompanying prospectus or any related free writing prospectus do not constitute an offer to sell or the solicitation of an offer to buy any securities other than the registered securities to which they relate, or in any jurisdiction to any person to whom it is unlawful to make such offer or solicitation in such jurisdiction. If anyone provides you with different or inconsistent information, you should not rely on it. We and the underwriters take no responsibility for, and can provide no assurance as to the reliability of, any other information that others may give you.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For investors outside the United States: We and the underwriters have not done anything that would permit the offering or possession or distribution of this prospectus supplement and the accompanying prospectus in any jurisdiction where action for that purpose is required, other than in the United States. Persons outside the United States who come into possession of this prospectus supplement and the accompanying prospectus must inform themselves about, and observe any restrictions relating to, the offering of the securities described herein and the distribution of this prospectus supplement and the accompanying prospectus outside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150521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document consists of two parts. The first part is this prospectus supplement, which describes the specific terms of this offering of ADSs and also adds to and updates information contained in the accompanying prospectus and the documents incorporated by reference into this prospectus supplement and the accompanying prospectus. The second part is the accompanying prospectus dated March 19, 2024, included in our registration statement on Form F-3 (File No. 333-278050) that became effective automatically upon filing with the U.S. Securities and Exchange Commission (the “SEC”) along with the documents incorporated by reference, which provides more general information, some of which may not apply to this offering. To the extent information in this prospectus supplement is inconsistent with the accompanying prospectus or any of the documents incorporated by reference into this prospectus supplement and the accompanying prospectus, you should rely on this prospectus supplement. If any statement in one of these documents is inconsistent with a statement in another document having a later date—for example, a document incorporated by reference in the accompanying prospectus—the statement in the document having the later date modifies or supersedes the earlier statement. You should read and consider the information in both this prospectus supplement and the accompanying prospectus together with the additional information described under the headings “Where You Can Find More Information” and “Incorporation of Documents by Reference.”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or the context otherwise requires, all references in this prospectus supplement to the terms “Legend,” “Legend Biotech,” “the company,” “we,” “us” and “our” refer to Legend Biotech Corporation and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supplement is a part or other SEC filings, and you may obtain copies of those documents as described below under the heading “Where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You should assume that the information contained in this prospectus supplement, the accompanying prospectus and any related free writing prospectus is accurate only as of the date of this prospectus supplement, the accompanying prospectus and any such related free writing prospectus, regardless of the time of delivery of this prospectus supplement, the accompanying prospectus, any such related free writing prospectus or of any sale of our ordinary shares or ADSs. You should not assume that the information contained in this prospectus supplement, the accompanying prospectus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supplement, the accompanying prospectus or any related free writing prospectus is delivered, or ordinary shares or ADSs are sold, on a later date. Our business, financial condition, results of operations and prospects may have changed since those dates. You should read this prospectus supplement, the accompanying prospectus, the documents incorporated by reference in this prospectus supplement and the accompanying prospectus, and any free writing prospectus prepared by or on behalf of us or to which we have referred you, in their entirety before making an investment decision.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s150521_2"/>
      <w:bookmarkEnd w:id="4"/>
      <w:r>
        <w:rPr>
          <w:rFonts w:ascii="Times New Roman" w:hAnsi="Times New Roman"/>
          <w:b/>
          <w:sz w:val="20"/>
        </w:rPr>
        <w:t xml:space="preserve">MARKET, INDUSTRY AND OTHER DATA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accompanying prospectus, including the information incorporated by reference into this prospectus supplement and the accompanying prospectus, and any free writing prospectus that we have authorized for use in connection with this offering, contains estimates, projections and other information concerning our industry, our business and the markets for our product candidates, including data regarding the estimated size of such markets and the incidence of certain medical conditions. We obtained this industry, market and similar data from our internal estimates and research and from academic and industry research, publications, surveys and studies conducted by third parties, including governmental agencies. In some cases, we do not expressly refer to the sources from which this data is derived. Information that is based on estimates, forecasts, projections, market research or similar methodologies is inherently subject to uncertainties and actual events or circumstances may differ materially from events and circumstances that are assumed in this information. While we believe that the data we use from third parties are reliable, we have not separately verified this data. Further, while we believe that our internal research is reliable, such research has not been verified by any third party. You are cautioned not to give undue weight to any such information, projections and estimates.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s150521_3"/>
      <w:bookmarkEnd w:id="5"/>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prospectus, the documents incorporated by reference and any free writing prospectus prepared by or on behalf of us or to which we have referred you contain “forward-looking statements” within the meaning of Section 27A of the Securities Act of 1933, as amended (the “Securities Act”) and Section 21E of the Securities Exchange Act of 1934, as amended (the “Exchange Act”). These statements are based on our management’s current beliefs, expectations and assumptions about future events, conditions and results and on information currently available to us. </w:t>
      </w:r>
    </w:p>
    <w:p>
      <w:pPr>
        <w:pStyle w:val="TextBody"/>
        <w:bidi w:val="0"/>
        <w:spacing w:before="240" w:after="0"/>
        <w:jc w:val="left"/>
        <w:rPr>
          <w:rFonts w:ascii="Times New Roman" w:hAnsi="Times New Roman"/>
          <w:sz w:val="20"/>
        </w:rPr>
      </w:pPr>
      <w:r>
        <w:rPr>
          <w:rFonts w:ascii="Times New Roman" w:hAnsi="Times New Roman"/>
          <w:sz w:val="20"/>
        </w:rPr>
        <w:t xml:space="preserve">In some cases, you can identify forward-looking statements by terminology such as “anticipate,” “believe,” “could,” “estimate,” “expects,” “intend,” “may,” “plan,” “potential,” “predict,” “project,” “should,” “will,” “would” or the negative or plural of those terms, and similar expressions intended to identify statements about the future, although not all forward-looking statements contain these words. These statements involve known and unknown risks, uncertainties and other factors that may cause our actual results, levels of activity, performance or achievements to be materially different from the information expressed or implied by these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Any statements in this prospectus supplement, the accompanying prospectus, the documents incorporated by reference or any free writing prospectus prepared by or on behalf of us or to which we have referred you about our expectations, beliefs, plans, objectives, assumptions or future events or performance are not historical facts and are forward-looking statements. Forward-looking statements may include, without limitation, statements regarding: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effectively manufacture, market and sell CARVYKTI;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opportunity for and potential for commercial success of CARVYKTI;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effects of treatment with CARVYKTI and resulting regulatory investigations or label updates;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our clinical trials to demonstrate acceptable safety and efficacy of our product candidates, and other positive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progress and results of preclinical studies and clinical trials for product candidates we may develop, including statements regarding the timing of initiation and completion of studies or trials and related preparatory work, the period during which the results of the trials will become available, and our research and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scope and likelihood of regulatory filings and approvals, including final regulatory approval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achieve specified milestones under our collaboration with Janssen Biotech, Inc., a Johnson &amp; Johnson company (“Janssen”) for cilta-cel or under other collaboration and license agreements we have entered into with other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develop and advance our current product candidates and programs into, and successfully complete,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manufacturing, commercialization, and marketing capabilities and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relating to commercializing our product candidates, if approved, including the geographic areas of focus and sales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need to hire additional personnel and our ability to attract, retain and motivate such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size of the market opportunity for our product candidates, including our estimates of the number of patients who suffer from the diseases we are targeting;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approval and use of our product candidates as first, second or subsequent lines of therapy or in combination with other drugs;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competitive position and the success of competing therapies that are or may become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estimates of the number of patients that we will enroll in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beneficial characteristics, safety, efficacy and therapeutic effects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and maintain regulatory approval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relating to the further development of our product candidates, including additional indications we may pursue;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acquisitions and integration of complementary businesses and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intellectual property position, including the scope of protection we are able to establish and maintain for intellectual property rights covering product candidates we may develop, including the extensions of existing patent terms where available, the validity of intellectual property rights held by third parties, and our ability not to infringe, misappropriate or otherwise violate any third-party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continued reliance on third parties to conduct additional clinical trials of our product candidates, and for the manufacture of our product candidates for preclinical studies and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and negotiate favorable terms of, any collaboration, licensing or other arrangements that may be necessary or desirable to develop, manufacture or commercialize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pricing and reimbursement of the product candidates we may develop,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about the prices and availability of labor, transportation and raw materials, including as a result of inflation, and our ability to obtain them in a timely manner;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exposure to and the potential impact of risks inherent in our foreign operations, including currency fluctuations, exchange controls and pricing restrictions;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and degree of market acceptance and clinical utility of our product candidates we may develop;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effectiveness of our key information technology systems, networks, processes or related controls or those of our service providers;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estimates regarding expenses, future revenue, capital requirements and needs for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financial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consistently maintain effective internal control over financial reporting;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tax laws and the resolution of tax contingencies resulting in additional tax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period over which we estimate our existing cash and cash equivalents will be sufficient to fund our future operating expenses and capital expenditure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United States or foreign laws and regulations on our operations, including the impact of tariffs;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epidemics and pandemics, rising inflation rates, geopolitical tensions, the failure and instability of financial institutions, or other world events’ disruptions on our business, including, without limitation, our ability to manage the demand, supply and operational challenges associated with the actual or perceived effects of such disruptions;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anticipated use of our existing resources and the proceeds from this offering.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reflect our current views with respect to future events, are based on assumptions and are subject to risks and uncertainties. Given these risks and uncertainties, you should not place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S-vi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undue reliance on these forward-looking statements. We discuss many of these risks, uncertainties and other factors in greater detail under the heading “Risk Factors” in this prospectus supplement and in the section “Item3.D-Risk Factors” of our Annual Report on Form 20-F for the fiscal year ended December 31, 2025 (the “Annual Report”) which is incorporated by reference into this prospectus supplement and the accompanying prospectus. As a result of these factors, we cannot assure you that the forward-looking statements contained in this prospectus supplement, the accompanying prospectus, the documents incorporated by reference or any free writing prospectus prepared by or on behalf of us or to which we have referred you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this prospectus supplement, the accompanying prospectus, the documents incorporated by reference or any free writing prospectus prepared by or on behalf of us or to which we have referred you completely and with the understanding that our actual future results may be materially different from what we expect. We qualify all of our forward-looking statements by these cautionary statements.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statements that “we believe” and similar statements reflect our beliefs and opinions on the relevant subject. These statements are based upon information available to us as of the date of this prospectus supplement,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S-vii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6" w:name="s150521_4"/>
      <w:bookmarkEnd w:id="6"/>
      <w:r>
        <w:rPr>
          <w:rFonts w:ascii="Times New Roman" w:hAnsi="Times New Roman"/>
          <w:b/>
          <w:sz w:val="20"/>
          <w:bdr w:val="single" w:sz="8" w:space="1" w:color="000000"/>
        </w:rPr>
        <w:t xml:space="preserve">PROSPECTUS SUPPLEMENT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following summary highlights information about us, this offering and other information contained elsewhere in or incorporated by reference in this prospectus supplement and the accompanying prospectus, and does not contain all of the information that you need to consider in making your investment decision. For a more complete understanding of our company and this offering, you should read and consider carefully the more detailed information included or incorporated by reference in this prospectus supplement and the accompanying prospectus, including the factors described under the heading “Risk Factors” beginning on page S-9 of this prospectus supplement and in the section “Item3.D-Risk Factors” of our Annual Report, which is incorporated by reference into this prospectus supplement and the accompanying prospectus, as well as the information included in any free writing prospectus prepared by or on behalf of us or to which we have referred you.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OVERVIEW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global biopharmaceutical company engaged in the discovery, development, manufacturing and commercialization of novel cell therapies for oncology and other indications. Our team of over 3,000 employees in the United States, China and Europe, our differentiated technology, global development and manufacturing strategy and expertise provide us with the ability to generate, test and manufacture next-generation cell therapies targeting indications with high unmet needs. Our lead product candidate, ciltacabtagene autoleucel (“cilta-cel” or “LCAR- B38M” for purposes of our LEGEND-2 trial) is a chimeric antigen receptor T cell (“CAR-T”) therapy we are jointly developing with our strategic partner, Janssen, for the treatment of multiple myeloma (“MM”). Clinical trial results achieved to date demonstrate that cilta-cel is the first CAR-T cell therapy to demonstrate overall survival benefit when compared to standard therapies in patients with relapsed and lenalidomide-refractory multiple myeloma (“RRMM”) with a manageable safety profile.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February 28, 2022, cilta-cel was approved by the United States Food &amp; Drug Administration (the “FDA”) under the trademark CARVYKTI for the treatment of adults with RRMM who have received four or more prior lines of therapy, including a proteasome inhibitor, an immunomodulatory agent, and an anti-CD38 monoclonal antibody. In April 2024, the FDA approved CARVYKTI for the treatment of patients with RRMM who have received at least one prior line of therapy, including proteasome inhibitor, and an immunomodulatory agent, and are refractory to lenalidomide. We have established a sales, marketing and operational infrastructure to support the commercialization of CARVYKTI in the United States. On May 25, 2022, the European Commission granted conditional marketing authorization of CARVYKTI for the treatment of adults with RRMM who have received at least three prior therapies, including a proteasome inhibitor (“PI”), an immunomodulatory agent (“IMiD”) and an anti-CD38 antibody, and have demonstrated disease progression on the last therapy. On September 26, 2022, Japan’s Ministry of Health, Labour and Welfare approved CARVYKTI for the treatment of adults with RRMM, limited to cases meeting both of the following conditions: (1) patients who have no history of CAR-positive T cell infusion therapy targeting B-cell maturation antigen (“BCMA”); and (2) patients who have received three or more lines of therapies, including an immunomodulatory agent, a proteasome inhibitor and an anti-CD38 monoclonal antibody, and in whom MM has not responded to or has relapsed following the most recent therapy. In April 2024, the European Commission granted approval of CARVYKTI for the treatment of adult patients with RRMM who have received at least one prior line of therapy including a PI and an IMiD, have demonstrated disease progression on the last therapy and are refractory to lenalidomide.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Furthermore, we are also developing an in-vivo CAR-T product candidate targeting CD19/CD20 for NHL (“LB2501”) which is being evaluated in an ongoing Phase 1, open-label study NCT07002112) in patients with relapsed/refractory B-cell malignancies to assess safety, tolerability, and preliminary efficacy. LB2501 is an investigational, potential first-in-class CD19/CD20 dual-targeting </w:t>
      </w:r>
      <w:r>
        <w:rPr>
          <w:rFonts w:ascii="Times New Roman" w:hAnsi="Times New Roman"/>
          <w:i/>
          <w:sz w:val="20"/>
          <w:bdr w:val="single" w:sz="8" w:space="1" w:color="000000"/>
        </w:rPr>
        <w:t>in vivo</w:t>
      </w:r>
      <w:r>
        <w:rPr>
          <w:rFonts w:ascii="Times New Roman" w:hAnsi="Times New Roman"/>
          <w:sz w:val="20"/>
          <w:bdr w:val="single" w:sz="8" w:space="1" w:color="000000"/>
        </w:rPr>
        <w:t xml:space="preserve"> CAR-T therapy designed to generate CAR-T cells directly within the patient following a single intravenous infusion.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RISK FACTORS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business is subject to numerous risks and uncertainties, including those highlighted in the section titled “Risk Factors” immediately following this prospectus supplement summary and in the section “Item3.D-Risk Factors” of our Annual Report. Some of these risks are: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Risks Related to the Commercialization of CARVYKTI and Our Other Product Candidates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substantially dependent on the commercial success of CARVYKTI. If we are unable to successfully commercialize CARVYKTI, our business will be materially harmed.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manufacture, marketing and sale of CARVYKTI or future products may be unsuccessful or have less success than anticipated.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commercial success of CARVYKTI, and of any future products, will depend upon the degree of market acceptance by physicians, third-party payors and others in the medical community.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market opportunities for our product or any future products are smaller than we believe they are, and if we are not able to successfully identify patients and achieve significant market share, our revenues may be adversely affected and our business may suffer.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face pricing and reimbursement risks related to ongoing and proposed U.S. government policies intended to lower prescription drug prices.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face substantial competition, which may result in others discovering, developing or commercializing products before or more successfully than we do, and could materially and adversely affect our business, financial condition, results of operations and prospects.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side effects or other safety risks associated with CARVYKTI or any future products could limit the commercial profile of an approved label or result in significant negative consequences following marketing approval.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be able to successfully create our own manufacturing infrastructure for supply of our requirements of products for use in clinical trials and for commercial sale.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expect to continue to invest significant financial and management resources to establish necessary capabilities and infrastructure to support our commercial needs. If we are unable to establish these commercial capabilities, we may be unable to generate sufficient revenue to sustain our business.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Risks Related to Our Business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become and remain profitable may never be achieved due to the uncertainty of developing and commercializing complex therapies, and we may never achieve or maintain profitability.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potential need for additional funding to complete the development of our product candidates, which may not be available on acceptable terms, if at all.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inability to obtain or manufacture raw materials or key starting materials necessary for product manufacture, such as lentiviral vectors, would adversely affect the clinical development and commercialization of these products, which could, in turn, adversely affect our sales and profitability.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Risks Related to the Development of Our Product Candidates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uncertainties of the biopharmaceutical development process for novel and emergent treatment, including the uncertainty of outcomes of clinical trials, and the potential failure of product candidates to show safety or efficacy.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primary research and development efforts are focused on cell therapies, including autologous and in vivo CAR-T therapies, allogeneic rdT and NK (chimeric antigen receptor natural killer cell (“CAR-NK”) therapies, which are emerging treatments that face significant challenges and hurdles.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side effects or other safety risks associated with our product candidates could delay or preclude approval, cause us to suspend or discontinue clinical trials, cause us to abandon product candidates, limit the commercial profile of an approved label or result in significant negative consequences following marketing approval.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dependence on enrollment of patients in clinical trials for development of our product candidates.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investigator-initiated clinical trials and studies that we do not fully control.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product opportunities may face limited market opportunities.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and difficulties in the manufacture of complex cell therapies.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Risks Related to Our Dependence on Third Parties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dependence on third parties, such as Janssen, for development, manufacturing and commercialization of our product candidates.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reliance on third parties to conduct our preclinical and clinical trials and the potential that such third parties may not perform satisfactorily.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reagents, specialized equipment and other specialty materials.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Risks Related to Regulatory Approval of Our Product Candidates and Other Legal Compliance Matters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risks and costs associated with complying with a rigorous, complex and evolving regulatory framework, including clinical trial regulations, pre-marketing regulatory requirements, pricing, reimbursement and cost-containment regulations, and ongoing regulation of approved products.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price controls in certain jurisdictions on our revenue and commercialization.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Risks Related to Doing Business in China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maintain, defend and enforce intellectual property rights in our products and disparities and uncertainties in intellectual property rights throughout the world.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third party intellectual property rights, including the significant cost and complexity associated with intellectual property proceedings.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doing business in China, including the impact of extensive Chinese regulation on the pharmaceutical industry.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heightened level of government involvement in the Chinese economy and uncertainties regarding legal protections in the PRC legal system.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PRC governmental authorities may intervene or influence our operations at any time, which could result in a material change in our operations and significantly and adversely impact the value of our ADSs.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PRC regulation of loans and direct investment by offshore holding companies to PRC entities may delay or prevent us from making loans or additional capital contributions to our PRC operating subsidiaries.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PRC government may exert more control over offerings conducted outside the PRC and/or investment by non-PRC investors in issuers with operations in China, which could materially and adversely affect our operations in the PRC, and could significantly limit, delay or hinder our ability to offer or continue to offer securities to investors, or cause the value of such securities to significantly decline. For example, the approval of, or filing or other procedures with, the China Securities Regulatory Commission (the “CSRC”) or other governmental authority may be required in connection with issuing our equity securities outside of the PRC under Chinese law, and, if required, we cannot predict whether we will be able, or how long it will take us, to obtain such approval or complete such filing or other procedures.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PRC regulations relating to offshore investment activities by PRC residents and enterprises may increase our administrative burden and restrict our non-PRC and cross-border investment activity.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Monetary, economic, political, environmental, social, and trade disputes between the United States and China.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heightened level of actions by the U.S. government in targeting Chinese companies and, in the biotech industry, the U.S. government seeking to implement heightened supply chain security for sourcing from China and limitations on the transfer of technology to recipients within China.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Risks Related to Our Organizational Structure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organizational structure may create significant conflicts of interest.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more limited protections afforded to shareholders as a result of our status as a foreign private issuer.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Risks Related to this Offering and Our Securities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owning our ADSs, including volatility in our trading price due to our business and financial performance, potential tax consequences and risks from dilution of our ADSs and ordinary shares if we issue additional ADSs or other securities.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immediate dilution you will suffer if you invest in this offering.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have broad discretion in the use of proceeds from this offering and may invest or spend the proceeds in ways with which you do not agree and in ways that may not increase the value of your investment. </w:t>
            </w:r>
          </w:p>
        </w:tc>
      </w:tr>
    </w:tbl>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 FOREIGN PRIVATE ISSUER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“foreign private issuer,” as defined by the SEC. As a result, in accordance with Nasdaq rules, we comply with home country governance requirements and certain exemptions thereunder rather than complying with Nasdaq corporate governance standards. As long as we qualify as a foreign private issuer under the Exchange Act we will be exempt from certain provisions of the Exchange Act that are applicable to U.S. domestic public companies, including: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exemption from filing quarterly reports on Form 10-Q containing unaudited financial and other specified information or current reports on Form 8-K upon the occurrence of specified significant events;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exemption from Section 16 rules requiring our principal shareholders to file public reports of their securities ownership and trading activities and providing for liability for insiders who profit from trades in a short period of time;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exemption for the Nasdaq listing rules applicable to domestic issuers requiring disclosure within four business days of any determination to grant a waiver of the code of business conduct and ethics to directors and officers;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exemption from the requirement to obtain shareholder approval for certain issuances of securities, including shareholder approval of share option plans;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exemption from the requirement that our audit committee have review and oversight responsibilities over all “related party transactions,” as defined in Item 7.B. of Form 20-F;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exemption from the requirement that our board have a compensation committee that is composed entirely of independent directors with a written charter addressing the committee’s purpose and responsibilities;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exemption from the requirements that director nominees are selected, or recommended for selection by our board of directors, either by (1) independent directors constituting a majority of our board of directors’ independent directors in a vote in which only independent directors participate, or (2) a committee comprised solely of independent directors, and that a formal written charter or board resolution, as applicable, addressing the nominations process is adopted.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currently rely on foreign private issuer exemptions to Nasdaq Rules 5605(d) and 5605(e), as currently only two of the three members of each of our compensation committee and nominating and corporate governance committee are independent directors. Additionally, we may in the future rely on additional foreign private issuer exemptions, including exemptions allowing for less than a majority of our board of directors to consist of independent directors, and so fewer board members would be exercising independent judgment and the level of board oversight on the management of our company may decrease as a result. The foreign private issuer exemptions do not modify the independence requirements for the audit committee.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CORPORATE HISTORY AND INFORMATION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an exempted company incorporated in the Cayman Islands with limited liability. We commenced our operations in China in November 2014 as a wholly owned subsidiary of Genscript Biotech Corporation (“Genscript”). In May 2015, we incorporated Legend Biotech Corporation under the laws of the Cayman Islands, which became our ultimate holding company through a series of transactions.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offices are located at 2101 Cottontail Lane, Somerset, New Jersey 08873. Our telephone number at this address is (732) 317-5050. Our registered office in the Cayman Islands is located at 4th Floor, Harbour Place, 103 South Church Street, P.O. Box 10240, Grand Cayman KY1-1002, Cayman Islands. Investors should submit any inquiries to the address and telephone number of our principal executive offices set forth above.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main website is </w:t>
      </w:r>
      <w:r>
        <w:rPr>
          <w:rFonts w:ascii="Times New Roman" w:hAnsi="Times New Roman"/>
          <w:i/>
          <w:sz w:val="20"/>
          <w:bdr w:val="single" w:sz="8" w:space="1" w:color="000000"/>
        </w:rPr>
        <w:t>www.legendbiotech.com</w:t>
      </w:r>
      <w:r>
        <w:rPr>
          <w:rFonts w:ascii="Times New Roman" w:hAnsi="Times New Roman"/>
          <w:sz w:val="20"/>
          <w:bdr w:val="single" w:sz="8" w:space="1" w:color="000000"/>
        </w:rPr>
        <w:t xml:space="preserve">. The information contained on this website is not a part of this prospectus supplement. </w:t>
      </w:r>
    </w:p>
    <w:p>
      <w:pPr>
        <w:pStyle w:val="TextBody"/>
        <w:bidi w:val="0"/>
        <w:spacing w:before="240" w:after="0"/>
        <w:jc w:val="left"/>
        <w:rPr>
          <w:bdr w:val="single" w:sz="8" w:space="1" w:color="000000"/>
        </w:rPr>
      </w:pPr>
      <w:r>
        <w:rPr>
          <w:bdr w:val="single" w:sz="8" w:space="1" w:color="000000"/>
        </w:rPr>
        <w:t>“</w:t>
      </w:r>
      <w:r>
        <w:rPr>
          <w:rFonts w:ascii="Times New Roman" w:hAnsi="Times New Roman"/>
          <w:sz w:val="20"/>
          <w:bdr w:val="single" w:sz="8" w:space="1" w:color="000000"/>
        </w:rPr>
        <w:t xml:space="preserve">Legend Biotech,” the Legend logo and other trademarks or service marks of Legend Biotech Corporation appearing in this prospectus supplement and the accompanying prospectus are the property of Legend Biotech Corporation. Trade names, trademarks and service marks of other companies appearing in this prospectus supplement and the accompanying prospectus are the property of their respective holders.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Beginning with the audit for our fiscal year ended December 31, 2022, our independent registered public accounting firm has been Ernst &amp; Young LLP, located in New Jersey in the United States. Accordingly, we are not at risk of our securities being prohibited from trading on a national securities exchange in the United States pursuant to the Holding Foreign Companies Accountable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CONVENTIONS THAT APPLY TO THIS PROSPECTUS SUPPLEMENT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otherwise indicated or the context otherwise requires, references in this prospectus supplement to: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ADSs” are to the American depositary shares, each of which represents two of our ordinary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ADRs” are to the American depositary receipts that evidence the ADSs;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China” or “PRC” refers to the People’s Republic of China, excluding, for the purpose of this prospectus supplement only, the Hong Kong Special Administrative Region, the Macau Special Administrative Region and Taiwan; “Greater China” does not exclude Hong Kong Special Administrative Region, the Macau Special Administrative Region and Taiwan;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ordinary shares” are to ordinary shares of our company, par value $0.0001 per share;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US$,” “U.S. dollars,” “$,” or “dollars” are to the legal currency of the United States.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ADSs offered by us </w:t>
            </w:r>
          </w:p>
        </w:tc>
        <w:tc>
          <w:tcPr>
            <w:tcW w:w="6328" w:type="dxa"/>
            <w:tcBorders/>
          </w:tcPr>
          <w:p>
            <w:pPr>
              <w:pStyle w:val="TableContents"/>
              <w:bidi w:val="0"/>
              <w:spacing w:before="0" w:after="283"/>
              <w:jc w:val="left"/>
              <w:rPr/>
            </w:pPr>
            <w:r>
              <w:rPr/>
              <w:t xml:space="preserve">7,700,000 ADSs (or 8,855,000 ADSs if the underwriters exercise their option to purchase additional ADSs in full).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Ordinary shares to be outstanding immediately after this offering </w:t>
            </w:r>
          </w:p>
        </w:tc>
        <w:tc>
          <w:tcPr>
            <w:tcW w:w="6327" w:type="dxa"/>
            <w:tcBorders/>
          </w:tcPr>
          <w:p>
            <w:pPr>
              <w:pStyle w:val="TableContents"/>
              <w:bidi w:val="0"/>
              <w:spacing w:before="0" w:after="283"/>
              <w:jc w:val="left"/>
              <w:rPr/>
            </w:pPr>
            <w:r>
              <w:rPr/>
              <w:t xml:space="preserve">386,879,583 ordinary shares (or 389,189,583 ordinary shares if the underwriters exercise their option to purchase additional ADSs in full).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Option to purchase additional ADSs </w:t>
            </w:r>
          </w:p>
        </w:tc>
        <w:tc>
          <w:tcPr>
            <w:tcW w:w="6327" w:type="dxa"/>
            <w:tcBorders/>
          </w:tcPr>
          <w:p>
            <w:pPr>
              <w:pStyle w:val="TableContents"/>
              <w:bidi w:val="0"/>
              <w:spacing w:before="0" w:after="283"/>
              <w:jc w:val="left"/>
              <w:rPr/>
            </w:pPr>
            <w:r>
              <w:rPr/>
              <w:t xml:space="preserve">We have granted the underwriters an option, exercisable within 30 days from the date of this prospectus supplement, to purchase up to an additional 1,155,000 ADSs from 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American Depositary Shares </w:t>
            </w:r>
          </w:p>
        </w:tc>
        <w:tc>
          <w:tcPr>
            <w:tcW w:w="6327" w:type="dxa"/>
            <w:tcBorders/>
          </w:tcPr>
          <w:p>
            <w:pPr>
              <w:pStyle w:val="TableContents"/>
              <w:bidi w:val="0"/>
              <w:spacing w:before="0" w:after="283"/>
              <w:jc w:val="left"/>
              <w:rPr/>
            </w:pPr>
            <w:r>
              <w:rPr/>
              <w:t xml:space="preserve">Each ADS represents two ordinary shares.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The depositary will hold ordinary shares underlying your ADSs. You will have rights as provided in the deposit agreement among us, the depositary and owners and holders of ADSs from time to time.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We do not expect to pay dividends in the foreseeable future. If, however, we declare dividends on our ordinary shares, the depositary will distribute the cash dividends and other distributions it receives on our ordinary shares after deducting its fees and expenses in accordance with the terms set forth in the deposit agreement.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You may surrender your ADSs to the depositary for cancellation in exchange for ordinary shares. The depositary will charge you fees for any cancellation.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We may amend or terminate the deposit agreement without your consent. If you continue to hold your ADSs after an amendment to the deposit agreement, you agree to be bound by the deposit agreement as amended.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To better understand the terms of the ADSs, you should carefully read the “Description of American Depositary Shares” section of the accompanying prospectus. You should also read the deposit agreement, which is filed as an exhibit to the registration statement to which this prospectus supplement relates.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Depositary </w:t>
            </w:r>
          </w:p>
        </w:tc>
        <w:tc>
          <w:tcPr>
            <w:tcW w:w="6330" w:type="dxa"/>
            <w:tcBorders/>
          </w:tcPr>
          <w:p>
            <w:pPr>
              <w:pStyle w:val="TableContents"/>
              <w:bidi w:val="0"/>
              <w:spacing w:before="0" w:after="283"/>
              <w:jc w:val="left"/>
              <w:rPr/>
            </w:pPr>
            <w:r>
              <w:rPr/>
              <w:t xml:space="preserve">JPMorgan Chase Bank, N.A.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8" w:type="dxa"/>
            <w:tcBorders/>
          </w:tcPr>
          <w:p>
            <w:pPr>
              <w:pStyle w:val="TableContents"/>
              <w:bidi w:val="0"/>
              <w:spacing w:before="0" w:after="283"/>
              <w:jc w:val="left"/>
              <w:rPr/>
            </w:pPr>
            <w:r>
              <w:rPr/>
              <w:t xml:space="preserve">We estimate that the net proceeds to us from this offering, after deducting the underwriting discounts and commissions and estimated offering expenses payable by us, to be approximately $211.6 million (or $243.5 million if the underwriters exercise their option to purchase additional ADSs in full). We intend to use the net proceeds from this offering, together with our existing cash and cash equivalents, to fund the development of our pipeline programs, including LB2501, and for working capital and other general corporate purposes. See “Use of Proceeds” for additional information.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Lock-up </w:t>
            </w:r>
          </w:p>
        </w:tc>
        <w:tc>
          <w:tcPr>
            <w:tcW w:w="6330" w:type="dxa"/>
            <w:tcBorders/>
          </w:tcPr>
          <w:p>
            <w:pPr>
              <w:pStyle w:val="TableContents"/>
              <w:bidi w:val="0"/>
              <w:spacing w:before="0" w:after="283"/>
              <w:jc w:val="left"/>
              <w:rPr/>
            </w:pPr>
            <w:r>
              <w:rPr/>
              <w:t xml:space="preserve">We have agreed with the underwriters not to sell, transfer or dispose of any ADSs, ordinary shares or similar securities for a period of 60 days after the date of this prospectus supplement, subject to certain exceptions. Our officers and directors and one of our shareholders have agreed with the underwriters not to sell, transfer or dispose of any ADSs, ordinary shares or similar securities for a period of 60 days after the date of this prospectus supplement, subject to certain exceptions. See “Underwriters.”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7" w:type="dxa"/>
            <w:tcBorders/>
          </w:tcPr>
          <w:p>
            <w:pPr>
              <w:pStyle w:val="TableContents"/>
              <w:bidi w:val="0"/>
              <w:spacing w:before="0" w:after="283"/>
              <w:jc w:val="left"/>
              <w:rPr/>
            </w:pPr>
            <w:r>
              <w:rPr/>
              <w:t xml:space="preserve">Investing in our ADSs involves a high degree of risk. Please read the information contained in and incorporated by reference in this prospectus supplement under the heading “Risk Factors” beginning on page S-9 of this prospectus supplement before deciding whether to invest in our ADSs.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The Nasdaq Global Select Market symbol </w:t>
            </w:r>
          </w:p>
        </w:tc>
        <w:tc>
          <w:tcPr>
            <w:tcW w:w="6329" w:type="dxa"/>
            <w:tcBorders/>
          </w:tcPr>
          <w:p>
            <w:pPr>
              <w:pStyle w:val="TableContents"/>
              <w:bidi w:val="0"/>
              <w:spacing w:before="0" w:after="283"/>
              <w:jc w:val="left"/>
              <w:rPr/>
            </w:pPr>
            <w:r>
              <w:rPr/>
              <w:t>“</w:t>
            </w:r>
            <w:r>
              <w:rPr/>
              <w:t xml:space="preserve">LEGN”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ordinary shares that will be outstanding immediately after this offering is based on 371,479,583 ordinary shares outstanding as of March 31, 2026, and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3,311,676 ordinary shares issuable upon the exercise of options outstanding as of March 31, 2026, with a weighted average exercise price of $4.03 per ordinary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13,202,935 ordinary shares issuable upon the vesting of restricted share units outstanding as of March 31,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3,804,644 ordinary shares available for future issuance under our Share Option Scheme as of March 31, 2026;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5,064,664 ordinary shares available for future issuance under our Amended and Restated Restricted Share Unit Incentive Plan as of March 31, 2026.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Except as otherwise noted, the information in this prospectus supplement assumes the following: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exercise by the underwriters of their option to purchase additional ADSs;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exercise of outstanding options or vesting of the restricted share units described above.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150521_5"/>
      <w:bookmarkEnd w:id="7"/>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Investing in our ADSs involves a high degree of risk. Before deciding whether to invest in our ADSs, you should consider carefully the risks described below and in the section “Item3.D-Risk Factors” of our Annual Report, which is incorporated by reference in this prospectus supplement and the accompanying prospectus in its entirety, together with the other information in this prospectus supplement, the accompanying prospectus, the documents incorporated by reference herein and therein, and any free writing prospectus prepared by or on behalf of us or to which we have referred you. Each of the risk factors could adversely affect our business, operating results and financial condition, as well as adversely affect the value of an investment in our ADSs, and the occurrence of any of these risks might cause you to lose all or part of your investment. Additional risks not presently known to us or that we currently believe are immaterial may also significantly impair our business operations.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Our Organizational Structure </w:t>
      </w:r>
    </w:p>
    <w:p>
      <w:pPr>
        <w:pStyle w:val="TextBody"/>
        <w:bidi w:val="0"/>
        <w:spacing w:before="120" w:after="0"/>
        <w:jc w:val="left"/>
        <w:rPr>
          <w:rFonts w:ascii="Times New Roman" w:hAnsi="Times New Roman"/>
          <w:b/>
          <w:i/>
          <w:sz w:val="20"/>
        </w:rPr>
      </w:pPr>
      <w:r>
        <w:rPr>
          <w:rFonts w:ascii="Times New Roman" w:hAnsi="Times New Roman"/>
          <w:b/>
          <w:i/>
          <w:sz w:val="20"/>
        </w:rPr>
        <w:t xml:space="preserve">Genscript will continue to own a significant percentage of our ordinary shares and will be able to exert significant control over matters subject to shareholder approval. </w:t>
      </w:r>
    </w:p>
    <w:p>
      <w:pPr>
        <w:pStyle w:val="TextBody"/>
        <w:bidi w:val="0"/>
        <w:spacing w:before="120" w:after="0"/>
        <w:jc w:val="left"/>
        <w:rPr>
          <w:rFonts w:ascii="Times New Roman" w:hAnsi="Times New Roman"/>
          <w:sz w:val="20"/>
        </w:rPr>
      </w:pPr>
      <w:r>
        <w:rPr>
          <w:rFonts w:ascii="Times New Roman" w:hAnsi="Times New Roman"/>
          <w:sz w:val="20"/>
        </w:rPr>
        <w:t xml:space="preserve">Genscript is currently our largest shareholder and three of the eleven members of our Board are employees of Genscript. Upon the closing of this offering, GenScript will beneficially own approximately 45.1% of the voting power of our outstanding share capital, or approximately 44.8% if the underwriters exercise their option to purchase 1,155,000 additional ADSs in full. Therefore, Genscript has the ability to exert significant influence through this ownership position. For example, Genscript and its shareholders may be able to significantly influence elections of directors, issuance of equity, including to our employees under equity incentive plans, amendments of our organizational documents, or approval of any merger, amalgamation, sale of assets or other major corporate transaction. Genscript’s interests may not always coincide with our corporate interests or the interests of other shareholders, and it may exercise its voting and other rights in a manner with which you may not agree or that may not be in the best interests of our other shareholders. Further, there may be changes to the management or ownership of Genscript that could impact Genscript’s interests in a way that may not coincide with our corporate interests or the interests of other shareholders. So long as Genscript continues to own a significant amount of our equity, it will continue to be able to exert a significant level of influence over our decisions.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this Offering and Ownership of our ADSs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you purchase ADSs in this offering, you will suffer immediate dilution of your investment. </w:t>
      </w:r>
    </w:p>
    <w:p>
      <w:pPr>
        <w:pStyle w:val="TextBody"/>
        <w:bidi w:val="0"/>
        <w:spacing w:before="120" w:after="0"/>
        <w:jc w:val="left"/>
        <w:rPr>
          <w:rFonts w:ascii="Times New Roman" w:hAnsi="Times New Roman"/>
          <w:sz w:val="20"/>
        </w:rPr>
      </w:pPr>
      <w:r>
        <w:rPr>
          <w:rFonts w:ascii="Times New Roman" w:hAnsi="Times New Roman"/>
          <w:sz w:val="20"/>
        </w:rPr>
        <w:t xml:space="preserve">The public offering price of our ADSs is substantially higher than the as adjusted net tangible book value per ADS. Therefore, if you purchase ADSs in this offering, you will pay a price per ADS that substantially exceeds our as adjusted net tangible book value per ADS after this offering. Based on the public offering price of $29.35 per ADS, you will experience immediate dilution of $23.26 per ADS, representing the difference between our as adjusted net tangible book value per ADS as of March 31, 2026, after giving effect to this offering, and the public offering price per ADS. After this offering, we will also have outstanding options to purchase ordinary shares with exercise prices lower than the public offering price. To the extent any outstanding options are exercised, there will be further dilution to investors in this offering. For further information regarding the dilution resulting from this offering, see the section titled “Dilution” in this prospectus supplement.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A significant portion of our total outstanding shares may be sold into the market in the near future. This could cause the market price of our ADSs to drop significantly, even if our business is doing well. </w:t>
      </w:r>
    </w:p>
    <w:p>
      <w:pPr>
        <w:pStyle w:val="TextBody"/>
        <w:bidi w:val="0"/>
        <w:spacing w:before="120" w:after="0"/>
        <w:jc w:val="left"/>
        <w:rPr>
          <w:rFonts w:ascii="Times New Roman" w:hAnsi="Times New Roman"/>
          <w:sz w:val="20"/>
        </w:rPr>
      </w:pPr>
      <w:r>
        <w:rPr>
          <w:rFonts w:ascii="Times New Roman" w:hAnsi="Times New Roman"/>
          <w:sz w:val="20"/>
        </w:rPr>
        <w:t xml:space="preserve">Sales of a substantial number of our ordinary shares or ADSs in the public market could occur at any time. If our shareholders sell, or the market perceives that our shareholders intend to sell, substantial amounts of our ordinary shares or ADSs in the public market following this offering, the market price of our ADSs could decline significantly.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All of our executive officers and directors and one of our shareholders are subject to lock-up agreements that restrict their ability to transfer shares of our share capital for 60 days from the date of this prospectus supplement. Upon completion of this offering, we will have outstanding 386,879,583 ordinary shares, including ordinary shares represented by ADSs, based on the number of shares outstanding as of March 31, 2026. Approximately 175 million ordinary shares will be available for sale in the public market beginning 60 days after the date of this prospectus supplement following the expiration of lock-up agreements and the remaining ordinary shares will be freely tradable immediately, in each case subject to volume, manner of sale, holding period and other limitations of Rule 144. Morgan Stanley Asia Limited and Jefferies LLC may, in their sole discretion, permit our shareholders who are subject to these lock-up agreements to sell ordinary shares prior to the expiration of the lock-up agreements.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will have broad discretion in the use of proceeds from this offering and may invest or spend the proceeds in ways with which you do not agree and in ways that may not increase the value of your investment. </w:t>
      </w:r>
    </w:p>
    <w:p>
      <w:pPr>
        <w:pStyle w:val="TextBody"/>
        <w:bidi w:val="0"/>
        <w:spacing w:before="120" w:after="0"/>
        <w:jc w:val="left"/>
        <w:rPr>
          <w:rFonts w:ascii="Times New Roman" w:hAnsi="Times New Roman"/>
          <w:sz w:val="20"/>
        </w:rPr>
      </w:pPr>
      <w:r>
        <w:rPr>
          <w:rFonts w:ascii="Times New Roman" w:hAnsi="Times New Roman"/>
          <w:sz w:val="20"/>
        </w:rPr>
        <w:t xml:space="preserve">Our management will have broad discretion in the application of our cash and cash equivalents, including the net proceeds from this offering, and could spend the proceeds in ways that do not improve our results of operations or enhance the value of our ADSs. The failure by our management to apply these funds effectively could result in financial losses that could have a negative impact on our business, cause the price of our ADSs to decline and delay the development of our product candidates and preclinical program. Pending their use, we may invest our cash and cash equivalents, including the net proceeds from this offering, in a manner that does not produce income or that loses value. See the section titled “Use of Proceeds” for additional information.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Raising additional capital may cause dilution to our holders, including purchasers of our ADSs in this offering, restrict our operations or require us to relinquish rights to our technologies or product candidates. </w:t>
      </w:r>
    </w:p>
    <w:p>
      <w:pPr>
        <w:pStyle w:val="TextBody"/>
        <w:bidi w:val="0"/>
        <w:spacing w:before="120" w:after="0"/>
        <w:jc w:val="left"/>
        <w:rPr>
          <w:rFonts w:ascii="Times New Roman" w:hAnsi="Times New Roman"/>
          <w:sz w:val="20"/>
        </w:rPr>
      </w:pPr>
      <w:r>
        <w:rPr>
          <w:rFonts w:ascii="Times New Roman" w:hAnsi="Times New Roman"/>
          <w:sz w:val="20"/>
        </w:rPr>
        <w:t xml:space="preserve">We expect that significant additional capital may be needed in the future to continue our planned operations, including conducting clinical trials, commercialization efforts, expanded research and development activities and costs associated with operating a public company. Until such time, if ever, as we can generate substantial product revenue, we expect to finance our cash needs through any or a combination of securities offerings (including potential listings of our securities on other exchanges), debt financings, license and collaboration agreements and research grants. If we raise capital through securities offerings, such sales may also result in material dilution to our existing shareholders, and new investors could gain rights, preferences and privileges senior to the holders of our ADSs or ordinary shares, including ADSs sold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we raise additional capital through the sale of equity or convertible debt securities, your ownership interest will be diluted, and the terms of these securities may include liquidation or other preferences that adversely affect your rights as a shareholder. Debt financing and preferred equity financing, if available, could result in fixed payment obligations, and we may be required to accept terms that restrict our ability to incur additional indebtedness, force us to maintain specified liquidity or other ratios or restrict our ability to pay dividends or make acquisitions. </w:t>
      </w:r>
    </w:p>
    <w:p>
      <w:pPr>
        <w:pStyle w:val="TextBody"/>
        <w:bidi w:val="0"/>
        <w:spacing w:before="240" w:after="0"/>
        <w:jc w:val="left"/>
        <w:rPr>
          <w:rFonts w:ascii="Times New Roman" w:hAnsi="Times New Roman"/>
          <w:sz w:val="20"/>
        </w:rPr>
      </w:pPr>
      <w:r>
        <w:rPr>
          <w:rFonts w:ascii="Times New Roman" w:hAnsi="Times New Roman"/>
          <w:sz w:val="20"/>
        </w:rPr>
        <w:t xml:space="preserve">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In addition, we could also be required to seek funds through arrangements with collaborators or others at an earlier stage than otherwise would be desirable. If we raise funds through research grants, we may be subject to certain requirements, which may limit our ability to use the funds or require us to share information from our research and development. If we are unable to raise additional funds through equity or debt financings when needed, we may be required to delay, limit, reduce or terminate our product development or future commercialization efforts or grant rights to a third party to develop and market product candidates that we would otherwise prefer to develop and market ourselves. Raising additional capital through any of these or other means could adversely affect our business and the holdings or rights of our shareholders, and may cause the market price of our ADSs to decline.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Holders of our ADSs have fewer rights than our shareholders and must act through the depositary to exercise their rights. </w:t>
      </w:r>
    </w:p>
    <w:p>
      <w:pPr>
        <w:pStyle w:val="TextBody"/>
        <w:bidi w:val="0"/>
        <w:spacing w:before="120" w:after="0"/>
        <w:jc w:val="left"/>
        <w:rPr>
          <w:rFonts w:ascii="Times New Roman" w:hAnsi="Times New Roman"/>
          <w:sz w:val="20"/>
        </w:rPr>
      </w:pPr>
      <w:r>
        <w:rPr>
          <w:rFonts w:ascii="Times New Roman" w:hAnsi="Times New Roman"/>
          <w:sz w:val="20"/>
        </w:rPr>
        <w:t xml:space="preserve">Holders of our ADSs do not have the same rights as our shareholders and may only exercise their voting rights with respect to the underlying ordinary shares in accordance with the provisions of the deposit agreement. Holders of the ADSs will appoint the depositary or its nominee as their representative to exercise the voting rights attaching to the ordinary shares represented by the ADSs. When a general meeting is convened, if you hold ADSs, you may not receive sufficient notice of a shareholders’ meeting to permit you to withdraw the ordinary shares underlying your ADSs to allow you to vote with respect to any specific matter. We will make all commercially reasonable efforts to cause the depositary to extend voting rights to you in a timely manner, but we cannot assure you that you will receive voting materials in time to instruct the depositary to vote, and it is possible that you, or persons who hold their ADSs through brokers, dealers or other third parties, will not have the opportunity to exercise a right to vote. Furthermore, the depositary will not be liable for any failure to carry out any instructions to vote, for the manner in which any vote is cast or for the effect of any such vote. As a result, you may not be able to exercise your right to vote and you may lack recourse if your ADSs are not voted as you request. In addition, in your capacity as an ADS holder, you will not be able to call a shareholders’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 may not receive distributions on our ordinary shares represented by the ADSs or any value for them if it is illegal or impractical to make them available to holders of ADSs. </w:t>
      </w:r>
    </w:p>
    <w:p>
      <w:pPr>
        <w:pStyle w:val="TextBody"/>
        <w:bidi w:val="0"/>
        <w:spacing w:before="120" w:after="0"/>
        <w:jc w:val="left"/>
        <w:rPr>
          <w:rFonts w:ascii="Times New Roman" w:hAnsi="Times New Roman"/>
          <w:sz w:val="20"/>
        </w:rPr>
      </w:pPr>
      <w:r>
        <w:rPr>
          <w:rFonts w:ascii="Times New Roman" w:hAnsi="Times New Roman"/>
          <w:sz w:val="20"/>
        </w:rPr>
        <w:t xml:space="preserve">Although we do not have any present plans to declare or pay any dividends on our ordinary shares after this offering, in the event we declare and pay any dividends, the depositary for the ADSs has agreed to pay to you the cash dividends or other distributions it or the custodian receives on our ordinary shares or other deposited securities after deducting its fees and expenses. You will receive these distributions in proportion to the number of our ordinary shares your ADSs represent. However, in accordance with the limitations set forth in the deposit agreement, it may be unlawful or impractical to make a distribution available to holders of ADSs. We have no obligation to register under U.S. securities laws any offering of ADSs, ordinary shares or other securities received through such distributions. We also have no obligation to take any other action to permit distribution on the ADSs, ordinary shares, rights or anything else to holders of the ADSs. This means that you may not receive the distributions we make on our ordinary shares or any value from them if it is unlawful or impractical to make them available to you. These restrictions may have an adverse effect on the value of your ADSs.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Your right to participate in any future rights offerings may be limited, which may cause dilution to your holdings. </w:t>
      </w:r>
    </w:p>
    <w:p>
      <w:pPr>
        <w:pStyle w:val="TextBody"/>
        <w:bidi w:val="0"/>
        <w:spacing w:before="120" w:after="0"/>
        <w:jc w:val="left"/>
        <w:rPr>
          <w:rFonts w:ascii="Times New Roman" w:hAnsi="Times New Roman"/>
          <w:sz w:val="20"/>
        </w:rPr>
      </w:pPr>
      <w:r>
        <w:rPr>
          <w:rFonts w:ascii="Times New Roman" w:hAnsi="Times New Roman"/>
          <w:sz w:val="20"/>
        </w:rPr>
        <w:t xml:space="preserve">We may from time to time distribute rights to our shareholders, including rights to acquire our securities. However, we cannot make rights available to you in the United States unless we register the rights and the securities to which the rights relate under the Securities Act or an exemption from the registration requirements is available. Also, under the deposit agreement, the depositary bank will not make rights available to you unless either both the rights and any related securities are registered under the Securities Act, or the distribution of them to ADS holders is exempted from registration under the Securities Act.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If the depositary does not distribute the rights, it may, under the deposit agreement, either sell them, if possible, or allow them to lapse. Accordingly, you may be unable to participate in our rights offerings and may experience dilution in your holdings. </w:t>
      </w:r>
    </w:p>
    <w:p>
      <w:pPr>
        <w:pStyle w:val="TextBody"/>
        <w:bidi w:val="0"/>
        <w:spacing w:before="360" w:after="0"/>
        <w:jc w:val="left"/>
        <w:rPr>
          <w:rFonts w:ascii="Times New Roman" w:hAnsi="Times New Roman"/>
          <w:b/>
          <w:i/>
          <w:sz w:val="20"/>
        </w:rPr>
      </w:pPr>
      <w:r>
        <w:rPr>
          <w:rFonts w:ascii="Times New Roman" w:hAnsi="Times New Roman"/>
          <w:b/>
          <w:i/>
          <w:sz w:val="20"/>
        </w:rPr>
        <w:t xml:space="preserve">Because we do not anticipate paying any cash dividends on our ADSs in the foreseeable future, capital appreciation, if any, will be your sole source of gains and you may never receive a return on your investment. </w:t>
      </w:r>
    </w:p>
    <w:p>
      <w:pPr>
        <w:pStyle w:val="TextBody"/>
        <w:bidi w:val="0"/>
        <w:spacing w:before="120" w:after="0"/>
        <w:jc w:val="left"/>
        <w:rPr>
          <w:rFonts w:ascii="Times New Roman" w:hAnsi="Times New Roman"/>
          <w:sz w:val="20"/>
        </w:rPr>
      </w:pPr>
      <w:r>
        <w:rPr>
          <w:rFonts w:ascii="Times New Roman" w:hAnsi="Times New Roman"/>
          <w:sz w:val="20"/>
        </w:rPr>
        <w:t xml:space="preserve">We have never declared or paid a dividend on our ordinary shares in the past, and we currently intend to retain our future earnings, if any, to fund the development and growth of our business. Therefore, you should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rely on an investment in our ADSs to provide dividend income. Our board of directors has complete discretion as to whether to distribute dividends, subject to certain restrictions under Cayman Islands law, namely that our company may only pay dividends out of profits or out of the credit standing in our company’s share premium account, and provided always that in no circumstances may a dividend be paid if this would result in our company being unable to pay its debts as they fall due in the ordinary course of business. In addition, our shareholders may, subject to our third amended and restated memorandum and articles of association, by ordinary resolution declare a dividend, but no dividend may exceed the amount recommended by our board of directors.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restrictions and other factors deemed relevant by our board of directors. As a result, capital appreciation, if any, on our ADSs will be your sole source of gains for the foreseeable future. Investors seeking cash dividends should not purchase our ADSs in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approval or other requirements of the China Securities Regulatory Commission or other governmental authority may be required. </w:t>
      </w:r>
    </w:p>
    <w:p>
      <w:pPr>
        <w:pStyle w:val="TextBody"/>
        <w:bidi w:val="0"/>
        <w:spacing w:before="120" w:after="0"/>
        <w:jc w:val="left"/>
        <w:rPr>
          <w:rFonts w:ascii="Times New Roman" w:hAnsi="Times New Roman"/>
          <w:sz w:val="20"/>
        </w:rPr>
      </w:pPr>
      <w:r>
        <w:rPr>
          <w:rFonts w:ascii="Times New Roman" w:hAnsi="Times New Roman"/>
          <w:sz w:val="20"/>
        </w:rPr>
        <w:t xml:space="preserve">On August 8, 2006, six PRC regulatory agencies, including the CSRC, promulgated the Provisions on the Merger or Acquisition of Domestic Enterprises by Foreign Investors, or the M&amp;A rules, which became effective on September 8, 2006 and was amended on June 22, 2009. The M&amp;A rules, among other things, requires offshore SPVs formed for the purpose of an overseas listing and controlled by PRC companies or individuals, to obtain the CSRC approval prior to listing their securities on an overseas stock exchange. The application of the M&amp;A rules remains unclear. Our PRC legal counsel has advised us that, based on their understanding of the current PRC laws and regulations, the CSRC approval was not required under the M&amp;A rules in the context of this offering because the ownership structure of our PRC subsidiaries was established by direct investment instead of through acquisition of equity interests or assets of any PRC domestic company by foreign entities as defined under the M&amp;A rules. </w:t>
      </w:r>
    </w:p>
    <w:p>
      <w:pPr>
        <w:pStyle w:val="TextBody"/>
        <w:bidi w:val="0"/>
        <w:spacing w:before="240" w:after="0"/>
        <w:jc w:val="left"/>
        <w:rPr>
          <w:rFonts w:ascii="Times New Roman" w:hAnsi="Times New Roman"/>
          <w:sz w:val="20"/>
        </w:rPr>
      </w:pPr>
      <w:r>
        <w:rPr>
          <w:rFonts w:ascii="Times New Roman" w:hAnsi="Times New Roman"/>
          <w:sz w:val="20"/>
        </w:rPr>
        <w:t xml:space="preserve">However, we have been advised by our PRC legal counsel that there are uncertainties regarding the interpretation and application of the PRC laws and regulations, and there can be no assurance that the PRC governments will ultimately take a view that is not contrary to the above opinion of our PRC legal counsel. Furthermore, the Opinions on Strictly Cracking Down on Illegal Securities Activities emphasized the need to strengthen the supervision on overseas listings by China-based companies and provided that the special provisions of the State Council on overseas issuance and listing of shares by those companies limited by shares will be revised. There are still uncertainties regarding the interpretation and implementation of these Opinions, and further explanations or detailed rules and regulations with respect to these Opinions may be issued in the future which could impose additional requirements on us. </w:t>
      </w:r>
    </w:p>
    <w:p>
      <w:pPr>
        <w:pStyle w:val="TextBody"/>
        <w:bidi w:val="0"/>
        <w:spacing w:before="240" w:after="0"/>
        <w:jc w:val="left"/>
        <w:rPr>
          <w:rFonts w:ascii="Times New Roman" w:hAnsi="Times New Roman"/>
          <w:sz w:val="20"/>
        </w:rPr>
      </w:pPr>
      <w:r>
        <w:rPr>
          <w:rFonts w:ascii="Times New Roman" w:hAnsi="Times New Roman"/>
          <w:sz w:val="20"/>
        </w:rPr>
        <w:t xml:space="preserve">On February 17, 2023, the CSRC released the Trial Administrative Measures of Overseas Securities Offering and Listing by Domestic Companies (the “Overseas Listing Trial Measures”), which came into effect on March 31, 2023. Pursuant to the Overseas Listing Trial Measures, (i) PRC domestic companies that seek to offer or list equity securities overseas, both directly and indirectly, should fulfill the filing procedure and report relevant information to the CSRC; (ii) if a company outside of the PRC satisfies both of the following conditions, its offering and listing outside of the PRC will be deemed an indirect offering by a PRC domestic company: i) more than 50% of such overseas company’s consolidated revenues, total profit, total assets or net assets that are derived from its audited consolidated financial statements for the most recently completed fiscal year are attributable to PRC domestic companies, and ii) any of the following circumstances applies: key components of its operations are carried out in the PRC; its principal places of business are located in the PRC; or the majority of the senior management members in charge of operation and management are PRC citizens or residents. The determination will be made on the basis of “substance over form”; and (iii) where a PRC domestic company seeks to indirectly offer and list securities in a market outside of the PRC, such company is required to designate a major domestic operating entity responsible for all filing procedures with the CSRC; where a company makes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 application for initial public offerings or listings in a market outside of the PRC, such company is required to submit filings with the CSRC within three business days after such application is submitted, and where an issuer conducts follow-on offerings in the same market outside of the PRC where it has previously offered and listed securities, the issuer shall submit filings with the CSRC within three business days after the follow-on offering is completed. If a PRC domestic company fails to complete the filing procedure or conceals any material fact or falsifies any major content in its filing documents, such PRC domestic company may be subject to administrative penalties, such as order to rectify, warnings, fines, and its controlling shareholders, actual controllers, the person directly in charge and other directly liable persons may also be subject to administrative penalties, such as warnings and fines. </w:t>
      </w:r>
    </w:p>
    <w:p>
      <w:pPr>
        <w:pStyle w:val="TextBody"/>
        <w:bidi w:val="0"/>
        <w:spacing w:before="240" w:after="0"/>
        <w:jc w:val="left"/>
        <w:rPr>
          <w:rFonts w:ascii="Times New Roman" w:hAnsi="Times New Roman"/>
          <w:sz w:val="20"/>
        </w:rPr>
      </w:pPr>
      <w:r>
        <w:rPr>
          <w:rFonts w:ascii="Times New Roman" w:hAnsi="Times New Roman"/>
          <w:sz w:val="20"/>
        </w:rPr>
        <w:t xml:space="preserve">However, since the Overseas Listing Trial Measures was newly promulgated, the interpretation, application and enforcement of the Overseas Listing Trial Measures remain unclear. It remains uncertain whether the filing requirements under the Overseas Listing Trial Measures are applicable to securities offerings by us. If the filing procedure with the CSRC under the Overseas Listing Trial Measures is required for any future follow-on offerings or any other capital raising activities by us, it is uncertain whether we can or how long it will take us to obtain such approval or complete such filing procedures. Given the substantial uncertainties surrounding the latest CSRC filing requirements at this stage, we cannot assure you that we will be able to complete the filings and fully comply with the relevant new rules on a timely basis, if at all.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cannot guarantee that any new rules or regulations promulgated in the future will not impose any additional requirements on us. If it is determined that we are subject to any CSRC approval, filing or other governmental authorization or requirements for this offering, we cannot assure you that we could obtain such approval or meet such requirements in a timely manner or at all. Such failure may subject us to fines, penalties or other sanctions which may have a material adverse effect on our business and financial conditions as well as our ability to complete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Chinese economy differs from other countries in many respects, including a higher level of government involvement, and the ongoing development of a market-oriented economy. </w:t>
      </w:r>
    </w:p>
    <w:p>
      <w:pPr>
        <w:pStyle w:val="TextBody"/>
        <w:bidi w:val="0"/>
        <w:spacing w:before="120" w:after="0"/>
        <w:jc w:val="left"/>
        <w:rPr>
          <w:rFonts w:ascii="Times New Roman" w:hAnsi="Times New Roman"/>
          <w:sz w:val="20"/>
        </w:rPr>
      </w:pPr>
      <w:r>
        <w:rPr>
          <w:rFonts w:ascii="Times New Roman" w:hAnsi="Times New Roman"/>
          <w:sz w:val="20"/>
        </w:rPr>
        <w:t xml:space="preserve">While the PRC economy has experienced significant growth since the late 1970s, growth has been uneven, both geographically and among various sectors of the economy. The PRC government has implemented various measures to encourage economic growth and guide the allocation of resources. These measures are intended to benefit the overall PRC economy, but may also have a negative effect on us. For example, our business, financial condition and results of operations could be adversely affected by PRC government control over capital investments or changes in regulations that are applicable to us. </w:t>
      </w:r>
    </w:p>
    <w:p>
      <w:pPr>
        <w:pStyle w:val="TextBody"/>
        <w:bidi w:val="0"/>
        <w:spacing w:before="240" w:after="0"/>
        <w:jc w:val="left"/>
        <w:rPr>
          <w:rFonts w:ascii="Times New Roman" w:hAnsi="Times New Roman"/>
          <w:sz w:val="20"/>
        </w:rPr>
      </w:pPr>
      <w:r>
        <w:rPr>
          <w:rFonts w:ascii="Times New Roman" w:hAnsi="Times New Roman"/>
          <w:sz w:val="20"/>
        </w:rPr>
        <w:t xml:space="preserve">The PRC economy has been transitioning from a centrally planned economy to a more market-oriented economy. Although the PRC government has implemented measures since the late 1970s that emphasize the utilization of market forces for economic reform, the PRC government continues to play a significant role in regulating industry development by imposing industrial policies.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PRC legal system contains uncertainties, which could limit the legal protections available to you and to us. </w:t>
      </w:r>
    </w:p>
    <w:p>
      <w:pPr>
        <w:pStyle w:val="TextBody"/>
        <w:bidi w:val="0"/>
        <w:spacing w:before="120" w:after="0"/>
        <w:jc w:val="left"/>
        <w:rPr>
          <w:rFonts w:ascii="Times New Roman" w:hAnsi="Times New Roman"/>
          <w:sz w:val="20"/>
        </w:rPr>
      </w:pPr>
      <w:r>
        <w:rPr>
          <w:rFonts w:ascii="Times New Roman" w:hAnsi="Times New Roman"/>
          <w:sz w:val="20"/>
        </w:rPr>
        <w:t xml:space="preserve">In 1979, the PRC government began to promulgate a comprehensive system of laws and regulations governing economic matters in general. The overall effect of legislation over the past four decades has significantly enhanced the protections afforded to various forms of foreign investment in China. Our PRC subsidiaries are subject to laws and regulations applicable to foreign-invested enterprises in China. In particular, they are subject to PRC laws, rules and regulations governing foreign companies’ ownership and operation of pharmaceutical businesses. Such laws and regulations are subject to change, and their interpretation and enforcement involve uncertainties, which could limit the legal protections available to us and our investors. In addition, we cannot predict the effect of future developments in the PRC legal system, including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promulgation of new laws, changes to existing laws or the interpretation or enforcement of such laws, or the preemption of local regulations by PRC laws, rules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Moreover, the PRC legal system is a civil law system based on written statutes. Unlike the common law system, prior court decisions may be cited for reference but have limited precedential value. Recently enacted laws, rules and regulations may not sufficiently cover all aspects of economic activities in China or may be subject to a significant degree of interpretation by PRC regulatory agencies and courts. In particular, because these laws, rules and regulations are relatively new, and because of the limited number of published decisions and the non-precedential nature of these decisions, and because the laws, rules and regulations often give the relevant regulator significant discretion in how to enforce them, the interpretation and enforcement of these laws, rules and regulations involve uncertainties. Therefore, it is possible that our existing operations may be found not to be in full compliance with relevant laws and regulations in the future.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PRC government has announced its plans to enhance its regulatory oversight of PRC companies listing outside of the PRC. The Opinions on Strictly Cracking Down on Illegal Securities Activities issued on July 6, 2021 called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tightening oversight of data security, cross-border data flow and administration of classified information, as well as amendments to relevant regulation to specify responsibilities of PRC companies listed outside of the PRC with respect to data security and information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enhanced oversight of companies listed outside of the PRC as well as equity fundraising and listing by PRC companies outside of the PRC;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extraterritorial application of China’s securities laws.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the Opinions on Strictly Cracking Down on Illegal Securities Activities were recently issued, there are great uncertainties with respect to the interpretation and implementation thereof. The PRC government may promulgate relevant laws, rules and regulations that may impose additional and significant obligations and liabilities on Chinese companies listed outside of the PRC regarding data security, cross-border data flow, and compliance with China’s securities laws. It is uncertain whether or how these new laws, rules and regulations and the interpretation and implementation thereof may affect us, but among other things, our ability to obtain external financing through the issuance of equity securities outside of the PRC could be negatively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PRC governmental authorities may take measures having influence on our operations, which could result in a material change in our operations and significantly and adversely impact the value of our ADSs. </w:t>
      </w:r>
    </w:p>
    <w:p>
      <w:pPr>
        <w:pStyle w:val="TextBody"/>
        <w:bidi w:val="0"/>
        <w:spacing w:before="120" w:after="0"/>
        <w:jc w:val="left"/>
        <w:rPr>
          <w:rFonts w:ascii="Times New Roman" w:hAnsi="Times New Roman"/>
          <w:sz w:val="20"/>
        </w:rPr>
      </w:pPr>
      <w:r>
        <w:rPr>
          <w:rFonts w:ascii="Times New Roman" w:hAnsi="Times New Roman"/>
          <w:sz w:val="20"/>
        </w:rPr>
        <w:t xml:space="preserve">The PRC government may take measures having influence on our operations as the government deems appropriate to further regulatory, political and societal goals. The PRC government has recently published new policies that significantly affected certain industries such as the education and internet industries, and we cannot rule out the possibility that it will in the future release regulations or policies regarding our industry that could require us to seek permission from PRC authorities to continue to operate our business in the PRC, which could adversely affect our business, financial condition and results of operations, as well as adversely impact the value of the ADSs, causing them to significantly decline in value. Furthermore, recent statements made by the PRC government have indicated an intent to increase the government’s oversight and control over offerings of companies with operations in China that are to be conducted in foreign markets, as well as foreign investment in issuers with operations in China like us. Any such action, once taken by the PRC government, could result in action taken by the PRC against our PRC subsidiaries and could significantly limit, delay or hinder our ability to offer or continue to offer securities to investors, or cause the value of such securities to significantly decline.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If we are or become classified as a passive foreign investment company, our U.S. shareholders may suffer adverse tax consequences as a result. </w:t>
      </w:r>
    </w:p>
    <w:p>
      <w:pPr>
        <w:pStyle w:val="TextBody"/>
        <w:bidi w:val="0"/>
        <w:spacing w:before="120" w:after="0"/>
        <w:jc w:val="left"/>
        <w:rPr>
          <w:rFonts w:ascii="Times New Roman" w:hAnsi="Times New Roman"/>
          <w:sz w:val="20"/>
        </w:rPr>
      </w:pPr>
      <w:r>
        <w:rPr>
          <w:rFonts w:ascii="Times New Roman" w:hAnsi="Times New Roman"/>
          <w:sz w:val="20"/>
        </w:rPr>
        <w:t xml:space="preserve">If we are characterized as a passive foreign investment company (“PFIC”) our U.S. shareholders may suffer adverse tax consequences, including having gains realized on the sale of our ordinary shares or ADSs treated as ordinary income, rather than capital gain, the loss of the preferential rate applicable to dividends received on our ordinary shares or ADSs by individuals who are U.S. Holders (as defined under “Material Income Tax Considerations—Material U.S. Federal Income Tax Consequences to U.S. Holders”), and having interest charges apply to distributions by us and gains from the sales of our shares or ADSs. Generally, for any taxable year, if at least 75% of our gross income is passive income, or at least 50% of the value of our assets is attributable to assets that produce passive income or are held for the production of passive income, including cash, we would be characterized as a PFIC for U.S. federal income tax purposes. For purposes of these tests, passive income includes dividends, interest gains from commodities and securities transactions, the excess of gains over losses from the disposition of assets which produce passive income (including amounts derived by reason of the temporary investment of funds raised in offerings of our shares) and rents and royalties other than certain rents and royalties which are received from unrelated parties in connection with the active conduct of a trade or business. </w:t>
      </w:r>
    </w:p>
    <w:p>
      <w:pPr>
        <w:pStyle w:val="TextBody"/>
        <w:bidi w:val="0"/>
        <w:spacing w:before="240" w:after="0"/>
        <w:jc w:val="left"/>
        <w:rPr>
          <w:rFonts w:ascii="Times New Roman" w:hAnsi="Times New Roman"/>
          <w:sz w:val="20"/>
        </w:rPr>
      </w:pPr>
      <w:r>
        <w:rPr>
          <w:rFonts w:ascii="Times New Roman" w:hAnsi="Times New Roman"/>
          <w:sz w:val="20"/>
        </w:rPr>
        <w:t xml:space="preserve">Our status as a PFIC will depend on the nature and composition of our income and the nature, composition and value of our assets (which may be determined based on the fair market value of each asset, with the value of goodwill and going concern value determined in large part by reference to the market value of our ADSs, which may be volatile). Our status may also depend, in part, on how quickly we utilize the cash proceeds from this offering and other fundraising activities in our business. Based on our operating history and the composition of our income and valuation of our assets, including goodwill, we do not believe we were a PFIC for our taxable year ended December 31, 2025. Even if we determine that we are not a PFIC for a taxable year, there can be no assurance that the U.S. Internal Revenue Service (the “IRS”), will agree with our conclusion and that the IRS would not successfully challenge our position. Because the determination of whether we are a PFIC for any taxable year is a factual determination made annually after the end of each taxable year, there can be no assurance that we will or will not be considered a PFIC in any taxable year including the current taxable year. Accordingly, our U.S. counsel expresses no opinion with respect to our PFIC status for our taxable year ended December 31, 2025 or any future taxable year. </w:t>
      </w:r>
    </w:p>
    <w:p>
      <w:pPr>
        <w:pStyle w:val="TextBody"/>
        <w:bidi w:val="0"/>
        <w:spacing w:before="240" w:after="0"/>
        <w:jc w:val="left"/>
        <w:rPr>
          <w:rFonts w:ascii="Times New Roman" w:hAnsi="Times New Roman"/>
          <w:sz w:val="20"/>
        </w:rPr>
      </w:pPr>
      <w:r>
        <w:rPr>
          <w:rFonts w:ascii="Times New Roman" w:hAnsi="Times New Roman"/>
          <w:sz w:val="20"/>
        </w:rPr>
        <w:t xml:space="preserve">The tax consequences that would apply if we are classified as a PFIC would also be different from those described above if a U.S. Holder were able to make a valid qualified electing fund (“QEF”) election. At this time, we do not expect to provide U.S. Holders with the information necessary for a U.S. Holder to make a QEF election. Prospective investors should assume that a QEF election will not be available.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Future changes to tax laws could materially adversely affect our company and reduce net returns to our shareholders. </w:t>
      </w:r>
    </w:p>
    <w:p>
      <w:pPr>
        <w:pStyle w:val="TextBody"/>
        <w:bidi w:val="0"/>
        <w:spacing w:before="120" w:after="0"/>
        <w:jc w:val="left"/>
        <w:rPr>
          <w:rFonts w:ascii="Times New Roman" w:hAnsi="Times New Roman"/>
          <w:sz w:val="20"/>
        </w:rPr>
      </w:pPr>
      <w:r>
        <w:rPr>
          <w:rFonts w:ascii="Times New Roman" w:hAnsi="Times New Roman"/>
          <w:sz w:val="20"/>
        </w:rPr>
        <w:t xml:space="preserve">The tax treatment of the company is subject to changes in tax laws, regulations and treaties, or the interpretation thereof, tax policy initiatives and reforms under consideration and the practices of tax authorities in jurisdictions in which we operate. Many of the countries in which we do business have already adopted or are expected to adopt changes in tax laws, including as a result of the Base Erosion and Profit Shifting Project of the Organisation for Economic Co-operation and Development (“OECD”), the European Commission’s state aid investigations and other initiatives. Such changes may include (but are not limited to) the taxation of operating income, investment income, dividends received or (in the specific context of withholding tax) dividends paid. The OECD has published a package of measures for reform as a product of the Base Erosion and Profit Shifting Project, which include the reallocation of global profits of large multinational companies to market jurisdictions based on customer location as well as the introduction of a global minimum tax. Many of the package’s proposed measures require amendments to the domestic tax legislation of various jurisdictions. In the United States, the Inflation Reduction Act of 2022 imposes, among other rules, a 15% minimum tax on the book income of certain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large corporations and a 1% excise tax on certain corporate stock repurchases. We are unable to predict what tax reform may be proposed or enacted in the future or what effect such changes would have on our business, but such changes, to the extent they are brought into tax legislation, regulations, policies or practices, could affect our financial position and overall or effective tax rates in the future in countries where we have operations, reduce post-tax returns to our shareholders, and increase the complexity, burden and cost of tax compliance.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Tax authorities may disagree with our positions and conclusions regarding certain tax positions, resulting in unanticipated costs, taxes or non-realization of expected benefits. </w:t>
      </w:r>
    </w:p>
    <w:p>
      <w:pPr>
        <w:pStyle w:val="TextBody"/>
        <w:bidi w:val="0"/>
        <w:spacing w:before="120" w:after="0"/>
        <w:jc w:val="left"/>
        <w:rPr>
          <w:rFonts w:ascii="Times New Roman" w:hAnsi="Times New Roman"/>
          <w:sz w:val="20"/>
        </w:rPr>
      </w:pPr>
      <w:r>
        <w:rPr>
          <w:rFonts w:ascii="Times New Roman" w:hAnsi="Times New Roman"/>
          <w:sz w:val="20"/>
        </w:rPr>
        <w:t xml:space="preserve">A tax authority may disagree with tax positions that we have taken, which could result in increased tax liabilities. For example, the IRS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150521_6"/>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net proceeds from the sale of 7,700,000 ADSs in this offering will be approximately $211.6 million, after deducting the underwriting discounts and commissions and estimated offering expenses payable by us. If the underwriters exercise their option to purchase additional ADSs in full, we estimate that the net proceeds to us from this offering will be approximately $243.5 million, after deducting the underwriting discounts and commissions and estimated offering expenses payable by us. </w:t>
      </w:r>
    </w:p>
    <w:p>
      <w:pPr>
        <w:pStyle w:val="TextBody"/>
        <w:bidi w:val="0"/>
        <w:spacing w:before="240" w:after="0"/>
        <w:jc w:val="left"/>
        <w:rPr>
          <w:rFonts w:ascii="Times New Roman" w:hAnsi="Times New Roman"/>
          <w:sz w:val="20"/>
        </w:rPr>
      </w:pPr>
      <w:r>
        <w:rPr>
          <w:rFonts w:ascii="Times New Roman" w:hAnsi="Times New Roman"/>
          <w:sz w:val="20"/>
        </w:rPr>
        <w:t xml:space="preserve">The principal purposes of this offering are to obtain additional capital to support our operations and facilitate our future access to the public capital markets.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from this offering, together with our existing cash and cash equivalents, to fund the development of our pipeline programs, including LB2501, and for working capital and other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net proceeds to us from this offering, assuming no exercise by the underwriters of their option to purchase additional ADSs and after deducting underwriting discounts and commissions and estimated offering expenses payable by us, combined with our cash and cash equivalents as of March 31, 2026, will be approximately $858.0 million. Based on our current operating plan, we believe that the net proceeds to us from this offering, together with our existing cash and cash equivalents, will enable us to fund our planned operating expenses and capital expenditures through the fourth quarter of 2027. We have based this estimate on assumptions that may prove to be incorrect, and we may use our available capital resources sooner than we currently expect. We anticipate needing to raise additional capital to complete the development of and commercialize product candidates in our pipeline. It is difficult to predict the cost and timing required to complete development and obtain regulatory approval of, and commercialize, our product candidates due to, among other factors, the relatively short history of our experience with initiating, conducting and completing clinical trials, obtaining regulatory approval and commercializing our product candidates, the rate of subject enrollment in our clinical trials, filing requirements with various regulatory agencies, clinical trial results and the actual costs of manufacturing and supplying our product candidates. </w:t>
      </w:r>
    </w:p>
    <w:p>
      <w:pPr>
        <w:pStyle w:val="TextBody"/>
        <w:bidi w:val="0"/>
        <w:spacing w:before="240" w:after="0"/>
        <w:jc w:val="left"/>
        <w:rPr>
          <w:rFonts w:ascii="Times New Roman" w:hAnsi="Times New Roman"/>
          <w:sz w:val="20"/>
        </w:rPr>
      </w:pPr>
      <w:r>
        <w:rPr>
          <w:rFonts w:ascii="Times New Roman" w:hAnsi="Times New Roman"/>
          <w:sz w:val="20"/>
        </w:rPr>
        <w:t xml:space="preserve">Our expected use of the net proceeds from this offering represents our intentions based upon our current plans and business conditions. As of the date of this prospectus supplement, we cannot predict with certainty all of the particular uses for the net proceeds to be received upon the completion of this offering or the amounts that we will actually spend on the uses set forth above. We believe that opportunities may exist from time to time to expand our current business through licenses with or acquisitions of, or investments in, complementary businesses, products or technologies, and we may use a portion of the net proceeds for these purposes. </w:t>
      </w:r>
    </w:p>
    <w:p>
      <w:pPr>
        <w:pStyle w:val="TextBody"/>
        <w:bidi w:val="0"/>
        <w:spacing w:before="240" w:after="0"/>
        <w:jc w:val="left"/>
        <w:rPr>
          <w:rFonts w:ascii="Times New Roman" w:hAnsi="Times New Roman"/>
          <w:sz w:val="20"/>
        </w:rPr>
      </w:pPr>
      <w:r>
        <w:rPr>
          <w:rFonts w:ascii="Times New Roman" w:hAnsi="Times New Roman"/>
          <w:sz w:val="20"/>
        </w:rPr>
        <w:t xml:space="preserve">Our management will have broad discretion over the use of the net proceeds from this offering. The amounts and timing of our expenditures will depend upon numerous factors, including the results of our research and development efforts, the timing, cost and success of preclinical studies and any ongoing clinical trials or clinical trials we may commence in the future, the timing of regulatory submissions, our ability to obtain additional financing, the amount of cash obtained through our existing collaborations and future collaborations, if any, and any unforeseen cash needs. </w:t>
      </w:r>
    </w:p>
    <w:p>
      <w:pPr>
        <w:pStyle w:val="TextBody"/>
        <w:bidi w:val="0"/>
        <w:spacing w:before="240" w:after="0"/>
        <w:jc w:val="left"/>
        <w:rPr>
          <w:rFonts w:ascii="Times New Roman" w:hAnsi="Times New Roman"/>
          <w:sz w:val="20"/>
        </w:rPr>
      </w:pPr>
      <w:r>
        <w:rPr>
          <w:rFonts w:ascii="Times New Roman" w:hAnsi="Times New Roman"/>
          <w:sz w:val="20"/>
        </w:rPr>
        <w:t xml:space="preserve">Pending any use described above, we intend to invest the net proceeds of this offering in short- and intermediate-term interest-bearing obligations, investment-grade instruments, certificates of deposit or direct or guaranteed obligations of the U.S. government.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150521_7"/>
      <w:bookmarkEnd w:id="9"/>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has discretion on whether to distribute dividends, subject to the third amended and restated memorandum and articles of association of our company and certain requirements of Cayman Islands law. In addition, our shareholders may by ordinary resolution declare a dividend, but no dividend may exceed the amount recommended by our board of directors. In either case, all dividends are subject to certain restrictions under Cayman Islands law, namely that our company may only pay dividends out of profits or the credit standing in our company’s share premium account, and provided always that in no circumstances may a dividend be paid if this would result in our company being unable to pay its debts as they fall due in the ordinary course of business immediately following the date on which the distribution or dividend is paid. Even if we decide to pay dividends, the form, frequency and amount will depend upon our future operations and earnings, capital requirements and surplus, general financial condition, contractual restrictions and other factors that the board of directors may deem relevant. </w:t>
      </w:r>
    </w:p>
    <w:p>
      <w:pPr>
        <w:pStyle w:val="TextBody"/>
        <w:bidi w:val="0"/>
        <w:spacing w:before="240" w:after="0"/>
        <w:jc w:val="left"/>
        <w:rPr>
          <w:rFonts w:ascii="Times New Roman" w:hAnsi="Times New Roman"/>
          <w:sz w:val="20"/>
        </w:rPr>
      </w:pPr>
      <w:r>
        <w:rPr>
          <w:rFonts w:ascii="Times New Roman" w:hAnsi="Times New Roman"/>
          <w:sz w:val="20"/>
        </w:rPr>
        <w:t xml:space="preserve">We do not have any present plan to pay any cash dividends on our ordinary shares in the foreseeable future after this offering. We currently intend to retain most, if not all, of our available funds and any future earnings to operate and expand our business. </w:t>
      </w:r>
    </w:p>
    <w:p>
      <w:pPr>
        <w:pStyle w:val="TextBody"/>
        <w:bidi w:val="0"/>
        <w:spacing w:before="240" w:after="0"/>
        <w:jc w:val="left"/>
        <w:rPr>
          <w:rFonts w:ascii="Times New Roman" w:hAnsi="Times New Roman"/>
          <w:sz w:val="20"/>
        </w:rPr>
      </w:pPr>
      <w:r>
        <w:rPr>
          <w:rFonts w:ascii="Times New Roman" w:hAnsi="Times New Roman"/>
          <w:sz w:val="20"/>
        </w:rPr>
        <w:t xml:space="preserve">If we pay any dividends on our ordinary shares, we will pay those dividends, which are payable in respect of the ordinary shares underlying the ADSs to the depositary, as the registered holder of such ordinary shares, and the depositary then will pay such amounts to our ADS holders in proportion to the ordinary shares underlying the ADSs held by such ADS holders, subject to the terms of the deposit agreement, including the fees and expenses payable thereunder. See “Description of American Depositary Shares” of the accompanying prospectus. Cash dividends on our ordinary shares, if any, will be paid in U.S. dollars.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150521_8"/>
      <w:bookmarkEnd w:id="10"/>
      <w:r>
        <w:rPr>
          <w:rFonts w:ascii="Times New Roman" w:hAnsi="Times New Roman"/>
          <w:b/>
          <w:sz w:val="20"/>
        </w:rPr>
        <w:t xml:space="preserve">DILUTION </w:t>
      </w:r>
    </w:p>
    <w:p>
      <w:pPr>
        <w:pStyle w:val="TextBody"/>
        <w:bidi w:val="0"/>
        <w:spacing w:before="240" w:after="0"/>
        <w:jc w:val="left"/>
        <w:rPr>
          <w:rFonts w:ascii="Times New Roman" w:hAnsi="Times New Roman"/>
          <w:sz w:val="20"/>
        </w:rPr>
      </w:pPr>
      <w:r>
        <w:rPr>
          <w:rFonts w:ascii="Times New Roman" w:hAnsi="Times New Roman"/>
          <w:sz w:val="20"/>
        </w:rPr>
        <w:t xml:space="preserve">If you invest in the ADSs, your interest will be diluted to the extent of the difference between the public offering price per ADS and our net tangible book value per ADS after this offering. Dilution results from the fact that the public offering price per ordinary share is substantially in excess of the book value per ordinary share attributable to the existing shareholders for our presently outstanding ordinary shares. </w:t>
      </w:r>
    </w:p>
    <w:p>
      <w:pPr>
        <w:pStyle w:val="TextBody"/>
        <w:bidi w:val="0"/>
        <w:spacing w:before="240" w:after="0"/>
        <w:jc w:val="left"/>
        <w:rPr>
          <w:rFonts w:ascii="Times New Roman" w:hAnsi="Times New Roman"/>
          <w:sz w:val="20"/>
        </w:rPr>
      </w:pPr>
      <w:r>
        <w:rPr>
          <w:rFonts w:ascii="Times New Roman" w:hAnsi="Times New Roman"/>
          <w:sz w:val="20"/>
        </w:rPr>
        <w:t xml:space="preserve">Our historical net tangible book value as of March 31, 2026 was $966.0 million, or $2.60 per ordinary share (equivalent to $5.20 per ADS). Historical net tangible book value represents the amount of our total consolidated tangible assets, less the amount of our total consolidated liabilities. Dilution is determined by subtracting historical net tangible book value per ordinary share or ADS, as applicable, after giving effect to the additional proceeds we will receive from this offering, from the public offering price of $29.35 per ADS, and after deducting the underwriting discounts and commissions and estimated offering expenses payable by us. </w:t>
      </w:r>
    </w:p>
    <w:p>
      <w:pPr>
        <w:pStyle w:val="TextBody"/>
        <w:bidi w:val="0"/>
        <w:spacing w:before="240" w:after="0"/>
        <w:jc w:val="left"/>
        <w:rPr>
          <w:rFonts w:ascii="Times New Roman" w:hAnsi="Times New Roman"/>
          <w:sz w:val="20"/>
        </w:rPr>
      </w:pPr>
      <w:r>
        <w:rPr>
          <w:rFonts w:ascii="Times New Roman" w:hAnsi="Times New Roman"/>
          <w:sz w:val="20"/>
        </w:rPr>
        <w:t xml:space="preserve">After giving effect to the sale of 7,700,000 ADSs in this offering at the public offering price of $29.35 per ADS, after deducting the underwriting discounts and commissions and estimated offering expenses payable by us (assuming the underwriters do not exercise their option to purchase additional ADSs), our as adjusted net tangible book value as of March 31, 2026 would have been $1,177.6 million, or $3.04 per ordinary share (equivalent to $6.09 per ADS). This represents an immediate further increase in net tangible book value of $0.89 per ADS to our existing shareholders and an immediate dilution in net tangible book value of $23.26 per ADS to investors purchasing ADSs in this offering. The following table illustrates such dilution: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543"/>
        <w:gridCol w:w="385"/>
        <w:gridCol w:w="145"/>
        <w:gridCol w:w="447"/>
        <w:gridCol w:w="60"/>
        <w:gridCol w:w="385"/>
        <w:gridCol w:w="145"/>
        <w:gridCol w:w="581"/>
        <w:gridCol w:w="64"/>
      </w:tblGrid>
      <w:tr>
        <w:trPr/>
        <w:tc>
          <w:tcPr>
            <w:tcW w:w="5543" w:type="dxa"/>
            <w:tcBorders/>
            <w:vAlign w:val="center"/>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5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38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44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581" w:type="dxa"/>
            <w:tcBorders/>
            <w:shd w:fill="CCEEFF" w:val="clear"/>
            <w:vAlign w:val="bottom"/>
          </w:tcPr>
          <w:p>
            <w:pPr>
              <w:pStyle w:val="TableContents"/>
              <w:bidi w:val="0"/>
              <w:spacing w:before="0" w:after="283"/>
              <w:jc w:val="right"/>
              <w:rPr/>
            </w:pPr>
            <w:r>
              <w:rPr/>
              <w:t>29.35</w:t>
            </w:r>
          </w:p>
        </w:tc>
        <w:tc>
          <w:tcPr>
            <w:tcW w:w="64" w:type="dxa"/>
            <w:tcBorders/>
            <w:shd w:fill="CCEEFF" w:val="clear"/>
            <w:vAlign w:val="bottom"/>
          </w:tcPr>
          <w:p>
            <w:pPr>
              <w:pStyle w:val="TableContents"/>
              <w:bidi w:val="0"/>
              <w:spacing w:before="0" w:after="283"/>
              <w:jc w:val="left"/>
              <w:rPr/>
            </w:pPr>
            <w:r>
              <w:rPr/>
              <w:t> </w:t>
            </w:r>
          </w:p>
        </w:tc>
      </w:tr>
      <w:tr>
        <w:trPr/>
        <w:tc>
          <w:tcPr>
            <w:tcW w:w="5543" w:type="dxa"/>
            <w:tcBorders/>
          </w:tcPr>
          <w:p>
            <w:pPr>
              <w:pStyle w:val="TableContents"/>
              <w:bidi w:val="0"/>
              <w:spacing w:before="0" w:after="0"/>
              <w:jc w:val="left"/>
              <w:rPr>
                <w:rFonts w:ascii="Times New Roman" w:hAnsi="Times New Roman"/>
                <w:sz w:val="20"/>
              </w:rPr>
            </w:pPr>
            <w:r>
              <w:rPr>
                <w:rFonts w:ascii="Times New Roman" w:hAnsi="Times New Roman"/>
                <w:sz w:val="20"/>
              </w:rPr>
              <w:t>Historical net tangible book value per ADS as of March 31, 2026</w:t>
            </w:r>
          </w:p>
        </w:tc>
        <w:tc>
          <w:tcPr>
            <w:tcW w:w="38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w:t>
            </w:r>
          </w:p>
        </w:tc>
        <w:tc>
          <w:tcPr>
            <w:tcW w:w="447" w:type="dxa"/>
            <w:tcBorders/>
            <w:vAlign w:val="bottom"/>
          </w:tcPr>
          <w:p>
            <w:pPr>
              <w:pStyle w:val="TableContents"/>
              <w:bidi w:val="0"/>
              <w:spacing w:before="0" w:after="283"/>
              <w:jc w:val="right"/>
              <w:rPr/>
            </w:pPr>
            <w:r>
              <w:rPr/>
              <w:t>5.20</w:t>
            </w:r>
          </w:p>
        </w:tc>
        <w:tc>
          <w:tcPr>
            <w:tcW w:w="60"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581"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5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as adjusted net tangible book value per ADS attributable to investors purchasing ADSs in this offering as of March 31, 2026</w:t>
            </w:r>
          </w:p>
        </w:tc>
        <w:tc>
          <w:tcPr>
            <w:tcW w:w="38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447" w:type="dxa"/>
            <w:tcBorders/>
            <w:shd w:fill="CCEEFF" w:val="clear"/>
            <w:vAlign w:val="bottom"/>
          </w:tcPr>
          <w:p>
            <w:pPr>
              <w:pStyle w:val="TableContents"/>
              <w:bidi w:val="0"/>
              <w:spacing w:before="0" w:after="283"/>
              <w:jc w:val="right"/>
              <w:rPr/>
            </w:pPr>
            <w:r>
              <w:rPr/>
              <w:t>0.89</w:t>
            </w:r>
          </w:p>
        </w:tc>
        <w:tc>
          <w:tcPr>
            <w:tcW w:w="60" w:type="dxa"/>
            <w:tcBorders/>
            <w:shd w:fill="CCEEFF" w:val="clear"/>
            <w:vAlign w:val="bottom"/>
          </w:tcPr>
          <w:p>
            <w:pPr>
              <w:pStyle w:val="TableContents"/>
              <w:bidi w:val="0"/>
              <w:spacing w:before="0" w:after="283"/>
              <w:jc w:val="left"/>
              <w:rPr/>
            </w:pPr>
            <w:r>
              <w:rPr/>
              <w:t> </w:t>
            </w:r>
          </w:p>
        </w:tc>
        <w:tc>
          <w:tcPr>
            <w:tcW w:w="38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581"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5543"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4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581"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5543" w:type="dxa"/>
            <w:tcBorders/>
          </w:tcPr>
          <w:p>
            <w:pPr>
              <w:pStyle w:val="TableContents"/>
              <w:bidi w:val="0"/>
              <w:spacing w:before="0" w:after="0"/>
              <w:jc w:val="left"/>
              <w:rPr>
                <w:rFonts w:ascii="Times New Roman" w:hAnsi="Times New Roman"/>
                <w:sz w:val="20"/>
              </w:rPr>
            </w:pPr>
            <w:r>
              <w:rPr>
                <w:rFonts w:ascii="Times New Roman" w:hAnsi="Times New Roman"/>
                <w:sz w:val="20"/>
              </w:rPr>
              <w:t>As adjusted net tangible book value per ADS after this offering</w:t>
            </w:r>
          </w:p>
        </w:tc>
        <w:tc>
          <w:tcPr>
            <w:tcW w:w="38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81" w:type="dxa"/>
            <w:tcBorders/>
            <w:vAlign w:val="bottom"/>
          </w:tcPr>
          <w:p>
            <w:pPr>
              <w:pStyle w:val="TableContents"/>
              <w:bidi w:val="0"/>
              <w:spacing w:before="0" w:after="283"/>
              <w:jc w:val="right"/>
              <w:rPr/>
            </w:pPr>
            <w:r>
              <w:rPr/>
              <w:t>6.09</w:t>
            </w:r>
          </w:p>
        </w:tc>
        <w:tc>
          <w:tcPr>
            <w:tcW w:w="64" w:type="dxa"/>
            <w:tcBorders/>
            <w:vAlign w:val="bottom"/>
          </w:tcPr>
          <w:p>
            <w:pPr>
              <w:pStyle w:val="TableContents"/>
              <w:bidi w:val="0"/>
              <w:spacing w:before="0" w:after="283"/>
              <w:jc w:val="left"/>
              <w:rPr/>
            </w:pPr>
            <w:r>
              <w:rPr/>
              <w:t> </w:t>
            </w:r>
          </w:p>
        </w:tc>
      </w:tr>
      <w:tr>
        <w:trPr/>
        <w:tc>
          <w:tcPr>
            <w:tcW w:w="5543"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581"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5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to investors in this offering per ADS as of March 31, 2026</w:t>
            </w:r>
          </w:p>
        </w:tc>
        <w:tc>
          <w:tcPr>
            <w:tcW w:w="38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sz w:val="4"/>
                <w:szCs w:val="4"/>
              </w:rPr>
            </w:pPr>
            <w:r>
              <w:rPr>
                <w:sz w:val="4"/>
                <w:szCs w:val="4"/>
              </w:rPr>
            </w:r>
          </w:p>
        </w:tc>
        <w:tc>
          <w:tcPr>
            <w:tcW w:w="44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85"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581" w:type="dxa"/>
            <w:tcBorders/>
            <w:shd w:fill="CCEEFF" w:val="clear"/>
            <w:vAlign w:val="bottom"/>
          </w:tcPr>
          <w:p>
            <w:pPr>
              <w:pStyle w:val="TableContents"/>
              <w:bidi w:val="0"/>
              <w:spacing w:before="0" w:after="283"/>
              <w:jc w:val="right"/>
              <w:rPr/>
            </w:pPr>
            <w:r>
              <w:rPr/>
              <w:t>23.26</w:t>
            </w:r>
          </w:p>
        </w:tc>
        <w:tc>
          <w:tcPr>
            <w:tcW w:w="64" w:type="dxa"/>
            <w:tcBorders/>
            <w:shd w:fill="CCEEFF" w:val="clear"/>
            <w:vAlign w:val="bottom"/>
          </w:tcPr>
          <w:p>
            <w:pPr>
              <w:pStyle w:val="TableContents"/>
              <w:bidi w:val="0"/>
              <w:spacing w:before="0" w:after="283"/>
              <w:jc w:val="left"/>
              <w:rPr/>
            </w:pPr>
            <w:r>
              <w:rPr/>
              <w:t> </w:t>
            </w:r>
          </w:p>
        </w:tc>
      </w:tr>
      <w:tr>
        <w:trPr/>
        <w:tc>
          <w:tcPr>
            <w:tcW w:w="5543"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sz w:val="4"/>
                <w:szCs w:val="4"/>
              </w:rPr>
            </w:pPr>
            <w:r>
              <w:rPr>
                <w:sz w:val="4"/>
                <w:szCs w:val="4"/>
              </w:rPr>
            </w:r>
          </w:p>
        </w:tc>
        <w:tc>
          <w:tcPr>
            <w:tcW w:w="44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85"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581"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underwriters exercise their option to purchase additional ADSs in full, the as adjusted net tangible book value as of March 31, 2026 would have been $6.22 per ADS, the increase in as adjusted net tangible book value attributable to investors in this offering would have been $1.02 per ADS, and the immediate dilution in net tangible book value to investors in this offering would have been $23.13 per ADS. </w:t>
      </w:r>
    </w:p>
    <w:p>
      <w:pPr>
        <w:pStyle w:val="TextBody"/>
        <w:bidi w:val="0"/>
        <w:spacing w:before="240" w:after="0"/>
        <w:jc w:val="left"/>
        <w:rPr>
          <w:rFonts w:ascii="Times New Roman" w:hAnsi="Times New Roman"/>
          <w:sz w:val="20"/>
        </w:rPr>
      </w:pPr>
      <w:r>
        <w:rPr>
          <w:rFonts w:ascii="Times New Roman" w:hAnsi="Times New Roman"/>
          <w:sz w:val="20"/>
        </w:rPr>
        <w:t xml:space="preserve">The number of ordinary shares outstanding in the table above is based on 371,479,583 ordinary shares outstanding as of March 31, 2026 on an actual basis, and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3,311,676 ordinary shares issuable upon the exercise of options outstanding as of March 31, 2026, with a weighted average exercise price of $4.03 per ordinary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13,202,935 ordinary shares issuable upon the vesting of restricted share units outstanding as of March 31,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3,804,644 ordinary shares available for future issuance under our Share Option Scheme as of March 31,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5,064,664 ordinary shares available for future issuance under our Amended and Restated Restricted Share Unit Incentive Plan as of March 31,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the extent that any outstanding options are exercised or new options are issued under the equity benefit plans, or we issue additional ordinary shares or other securities convertible into or exercisable or exchangeable for ordinary shares in the future, there will be further dilution to investors participating in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shareholders.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150521_9"/>
      <w:bookmarkEnd w:id="11"/>
      <w:r>
        <w:rPr>
          <w:rFonts w:ascii="Times New Roman" w:hAnsi="Times New Roman"/>
          <w:b/>
          <w:sz w:val="20"/>
        </w:rPr>
        <w:t xml:space="preserve">UNDERWRITERS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and subject to the conditions in an underwriting agreement dated the date of this prospectus supplement, the underwriters named below, for whom Morgan Stanley Asia Limited, Jefferies LLC and Citigroup Global Markets Inc. are acting as representatives (the “representatives”), have severally agreed to purchase, and we have agreed to sell to them, severally, the number of ADSs indicated below: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428"/>
        <w:gridCol w:w="289"/>
        <w:gridCol w:w="65"/>
        <w:gridCol w:w="1094"/>
        <w:gridCol w:w="63"/>
      </w:tblGrid>
      <w:tr>
        <w:trPr/>
        <w:tc>
          <w:tcPr>
            <w:tcW w:w="5428" w:type="dxa"/>
            <w:tcBorders/>
            <w:vAlign w:val="center"/>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428" w:type="dxa"/>
            <w:tcBorders/>
            <w:vAlign w:val="bottom"/>
          </w:tcPr>
          <w:p>
            <w:pPr>
              <w:pStyle w:val="TableContents"/>
              <w:bidi w:val="0"/>
              <w:spacing w:before="0" w:after="283"/>
              <w:jc w:val="left"/>
              <w:rPr>
                <w:b/>
              </w:rPr>
            </w:pPr>
            <w:r>
              <w:rPr>
                <w:b/>
              </w:rPr>
              <w:t>Name</w:t>
            </w:r>
          </w:p>
        </w:tc>
        <w:tc>
          <w:tcPr>
            <w:tcW w:w="289" w:type="dxa"/>
            <w:tcBorders/>
            <w:vAlign w:val="bottom"/>
          </w:tcPr>
          <w:p>
            <w:pPr>
              <w:pStyle w:val="TableContents"/>
              <w:bidi w:val="0"/>
              <w:spacing w:before="0" w:after="283"/>
              <w:jc w:val="left"/>
              <w:rPr/>
            </w:pPr>
            <w:r>
              <w:rPr/>
              <w:t>  </w:t>
            </w:r>
          </w:p>
        </w:tc>
        <w:tc>
          <w:tcPr>
            <w:tcW w:w="1159" w:type="dxa"/>
            <w:gridSpan w:val="2"/>
            <w:tcBorders>
              <w:bottom w:val="single" w:sz="8" w:space="0" w:color="000000"/>
            </w:tcBorders>
            <w:tcMar>
              <w:bottom w:w="28" w:type="dxa"/>
            </w:tcMar>
            <w:vAlign w:val="bottom"/>
          </w:tcPr>
          <w:p>
            <w:pPr>
              <w:pStyle w:val="TableContents"/>
              <w:bidi w:val="0"/>
              <w:spacing w:before="0" w:after="283"/>
              <w:jc w:val="center"/>
              <w:rPr/>
            </w:pPr>
            <w:r>
              <w:rPr>
                <w:b/>
              </w:rPr>
              <w:t>Number of</w:t>
            </w:r>
            <w:r>
              <w:rPr/>
              <w:br/>
            </w:r>
            <w:r>
              <w:rPr>
                <w:b/>
              </w:rPr>
              <w:t>ADSs</w:t>
            </w:r>
          </w:p>
        </w:tc>
        <w:tc>
          <w:tcPr>
            <w:tcW w:w="63" w:type="dxa"/>
            <w:tcBorders/>
            <w:vAlign w:val="bottom"/>
          </w:tcPr>
          <w:p>
            <w:pPr>
              <w:pStyle w:val="TableContents"/>
              <w:bidi w:val="0"/>
              <w:spacing w:before="0" w:after="283"/>
              <w:jc w:val="left"/>
              <w:rPr/>
            </w:pPr>
            <w:r>
              <w:rPr/>
              <w:t> </w:t>
            </w:r>
          </w:p>
        </w:tc>
      </w:tr>
      <w:tr>
        <w:trPr/>
        <w:tc>
          <w:tcPr>
            <w:tcW w:w="5428" w:type="dxa"/>
            <w:tcBorders/>
            <w:shd w:fill="CCEEFF" w:val="clear"/>
          </w:tcPr>
          <w:p>
            <w:pPr>
              <w:pStyle w:val="TableContents"/>
              <w:bidi w:val="0"/>
              <w:spacing w:before="0" w:after="20"/>
              <w:jc w:val="left"/>
              <w:rPr>
                <w:rFonts w:ascii="Times New Roman" w:hAnsi="Times New Roman"/>
                <w:sz w:val="20"/>
              </w:rPr>
            </w:pPr>
            <w:r>
              <w:rPr>
                <w:rFonts w:ascii="Times New Roman" w:hAnsi="Times New Roman"/>
                <w:sz w:val="20"/>
              </w:rPr>
              <w:t>Morgan Stanley Asia Limited</w:t>
            </w:r>
          </w:p>
        </w:tc>
        <w:tc>
          <w:tcPr>
            <w:tcW w:w="28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3,465,000</w:t>
            </w:r>
          </w:p>
        </w:tc>
        <w:tc>
          <w:tcPr>
            <w:tcW w:w="63" w:type="dxa"/>
            <w:tcBorders/>
            <w:shd w:fill="CCEEFF" w:val="clear"/>
            <w:vAlign w:val="bottom"/>
          </w:tcPr>
          <w:p>
            <w:pPr>
              <w:pStyle w:val="TableContents"/>
              <w:bidi w:val="0"/>
              <w:spacing w:before="0" w:after="283"/>
              <w:jc w:val="left"/>
              <w:rPr/>
            </w:pPr>
            <w:r>
              <w:rPr/>
              <w:t> </w:t>
            </w:r>
          </w:p>
        </w:tc>
      </w:tr>
      <w:tr>
        <w:trPr/>
        <w:tc>
          <w:tcPr>
            <w:tcW w:w="5428" w:type="dxa"/>
            <w:tcBorders/>
          </w:tcPr>
          <w:p>
            <w:pPr>
              <w:pStyle w:val="TableContents"/>
              <w:bidi w:val="0"/>
              <w:spacing w:before="0" w:after="0"/>
              <w:jc w:val="left"/>
              <w:rPr>
                <w:rFonts w:ascii="Times New Roman" w:hAnsi="Times New Roman"/>
                <w:sz w:val="20"/>
              </w:rPr>
            </w:pPr>
            <w:r>
              <w:rPr>
                <w:rFonts w:ascii="Times New Roman" w:hAnsi="Times New Roman"/>
                <w:sz w:val="20"/>
              </w:rPr>
              <w:t>Jefferies LLC</w:t>
            </w:r>
          </w:p>
        </w:tc>
        <w:tc>
          <w:tcPr>
            <w:tcW w:w="28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2,926,000</w:t>
            </w:r>
          </w:p>
        </w:tc>
        <w:tc>
          <w:tcPr>
            <w:tcW w:w="63" w:type="dxa"/>
            <w:tcBorders/>
            <w:vAlign w:val="bottom"/>
          </w:tcPr>
          <w:p>
            <w:pPr>
              <w:pStyle w:val="TableContents"/>
              <w:bidi w:val="0"/>
              <w:spacing w:before="0" w:after="283"/>
              <w:jc w:val="left"/>
              <w:rPr/>
            </w:pPr>
            <w:r>
              <w:rPr/>
              <w:t> </w:t>
            </w:r>
          </w:p>
        </w:tc>
      </w:tr>
      <w:tr>
        <w:trPr/>
        <w:tc>
          <w:tcPr>
            <w:tcW w:w="54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Citigroup Global Markets Inc.</w:t>
            </w:r>
          </w:p>
        </w:tc>
        <w:tc>
          <w:tcPr>
            <w:tcW w:w="28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924,000</w:t>
            </w:r>
          </w:p>
        </w:tc>
        <w:tc>
          <w:tcPr>
            <w:tcW w:w="63" w:type="dxa"/>
            <w:tcBorders/>
            <w:shd w:fill="CCEEFF" w:val="clear"/>
            <w:vAlign w:val="bottom"/>
          </w:tcPr>
          <w:p>
            <w:pPr>
              <w:pStyle w:val="TableContents"/>
              <w:bidi w:val="0"/>
              <w:spacing w:before="0" w:after="283"/>
              <w:jc w:val="left"/>
              <w:rPr/>
            </w:pPr>
            <w:r>
              <w:rPr/>
              <w:t> </w:t>
            </w:r>
          </w:p>
        </w:tc>
      </w:tr>
      <w:tr>
        <w:trPr/>
        <w:tc>
          <w:tcPr>
            <w:tcW w:w="5428" w:type="dxa"/>
            <w:tcBorders/>
          </w:tcPr>
          <w:p>
            <w:pPr>
              <w:pStyle w:val="TableContents"/>
              <w:bidi w:val="0"/>
              <w:spacing w:before="0" w:after="0"/>
              <w:jc w:val="left"/>
              <w:rPr>
                <w:rFonts w:ascii="Times New Roman" w:hAnsi="Times New Roman"/>
                <w:sz w:val="20"/>
              </w:rPr>
            </w:pPr>
            <w:r>
              <w:rPr>
                <w:rFonts w:ascii="Times New Roman" w:hAnsi="Times New Roman"/>
                <w:sz w:val="20"/>
              </w:rPr>
              <w:t>Deutsche Bank Securities Inc.</w:t>
            </w:r>
          </w:p>
        </w:tc>
        <w:tc>
          <w:tcPr>
            <w:tcW w:w="289"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094" w:type="dxa"/>
            <w:tcBorders/>
            <w:vAlign w:val="bottom"/>
          </w:tcPr>
          <w:p>
            <w:pPr>
              <w:pStyle w:val="TableContents"/>
              <w:bidi w:val="0"/>
              <w:spacing w:before="0" w:after="283"/>
              <w:jc w:val="right"/>
              <w:rPr/>
            </w:pPr>
            <w:r>
              <w:rPr/>
              <w:t>385,000</w:t>
            </w:r>
          </w:p>
        </w:tc>
        <w:tc>
          <w:tcPr>
            <w:tcW w:w="63" w:type="dxa"/>
            <w:tcBorders/>
            <w:vAlign w:val="bottom"/>
          </w:tcPr>
          <w:p>
            <w:pPr>
              <w:pStyle w:val="TableContents"/>
              <w:bidi w:val="0"/>
              <w:spacing w:before="0" w:after="283"/>
              <w:jc w:val="left"/>
              <w:rPr/>
            </w:pPr>
            <w:r>
              <w:rPr/>
              <w:t> </w:t>
            </w:r>
          </w:p>
        </w:tc>
      </w:tr>
      <w:tr>
        <w:trPr/>
        <w:tc>
          <w:tcPr>
            <w:tcW w:w="5428"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single" w:sz="2" w:space="1" w:color="000000"/>
              </w:pBdr>
              <w:bidi w:val="0"/>
              <w:spacing w:before="0" w:after="0"/>
              <w:jc w:val="left"/>
              <w:rPr/>
            </w:pPr>
            <w:r>
              <w:rPr/>
              <w:t> </w:t>
            </w:r>
          </w:p>
        </w:tc>
        <w:tc>
          <w:tcPr>
            <w:tcW w:w="1094"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4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89"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94" w:type="dxa"/>
            <w:tcBorders/>
            <w:shd w:fill="CCEEFF" w:val="clear"/>
            <w:vAlign w:val="bottom"/>
          </w:tcPr>
          <w:p>
            <w:pPr>
              <w:pStyle w:val="TableContents"/>
              <w:bidi w:val="0"/>
              <w:spacing w:before="0" w:after="283"/>
              <w:jc w:val="right"/>
              <w:rPr/>
            </w:pPr>
            <w:r>
              <w:rPr/>
              <w:t>7,700,000</w:t>
            </w:r>
          </w:p>
        </w:tc>
        <w:tc>
          <w:tcPr>
            <w:tcW w:w="63" w:type="dxa"/>
            <w:tcBorders/>
            <w:shd w:fill="CCEEFF" w:val="clear"/>
            <w:vAlign w:val="bottom"/>
          </w:tcPr>
          <w:p>
            <w:pPr>
              <w:pStyle w:val="TableContents"/>
              <w:bidi w:val="0"/>
              <w:spacing w:before="0" w:after="283"/>
              <w:jc w:val="left"/>
              <w:rPr/>
            </w:pPr>
            <w:r>
              <w:rPr/>
              <w:t> </w:t>
            </w:r>
          </w:p>
        </w:tc>
      </w:tr>
      <w:tr>
        <w:trPr/>
        <w:tc>
          <w:tcPr>
            <w:tcW w:w="5428"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double" w:sz="6" w:space="1" w:color="000000"/>
              </w:pBdr>
              <w:bidi w:val="0"/>
              <w:spacing w:before="0" w:after="0"/>
              <w:jc w:val="left"/>
              <w:rPr/>
            </w:pPr>
            <w:r>
              <w:rPr/>
              <w:t> </w:t>
            </w:r>
          </w:p>
        </w:tc>
        <w:tc>
          <w:tcPr>
            <w:tcW w:w="1094"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underwriters and the representatives are collectively referred to as the “underwriters” and the “representatives,” respectively. The underwriters are offering the ADSs subject to their acceptance of the ADSs from us and subject to prior sale. The underwriting agreement provides that the obligations of the several underwriters to pay for and accept delivery of the ADSs offered by this prospectus supplement are subject to the approval of certain legal matters by their counsel and to certain other conditions. The underwriters are obligated to take and pay for all of the ADSs offered by this prospectus supplement if any such ADSs are taken. However, the underwriters are not required to take or pay for the ADSs covered by the underwriters’ option to purchase additional shares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initially propose to offer part of the ADSs directly to the public at the offering price listed on the cover page of this prospectus supplement and part to certain dealers at a price that represents a concession not in excess of $1.0566 per ADS under the public offering price. After the initial offering of the ADSs, the offering price and other selling terms may from time to time be varied by the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We have granted to the underwriters an option, exercisable for 30 days from the date of this prospectus supplement, to purchase up to 1,155,000 additional ADSs from us at the public offering price listed on the cover page of this prospectus supplement, less underwriting discounts and commissions. To the extent the option is exercised, each underwriter will become obligated, subject to certain conditions, to purchase about the same percentage of the additional ADSs as the number listed next to the underwriter’s name in the preceding table bears to the total number of ADSs listed next to the names of all underwriters in the preceding table.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shows the per ADS and total public offering price, underwriting discounts and commissions, and proceeds before expenses to us. These amounts are shown assuming both no exercise and full exercise of the underwriters’ option to purchase up to an additional 1,155,000 ADSs from us.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560"/>
        <w:gridCol w:w="286"/>
        <w:gridCol w:w="159"/>
        <w:gridCol w:w="835"/>
        <w:gridCol w:w="60"/>
        <w:gridCol w:w="286"/>
        <w:gridCol w:w="146"/>
        <w:gridCol w:w="1342"/>
        <w:gridCol w:w="60"/>
        <w:gridCol w:w="286"/>
        <w:gridCol w:w="146"/>
        <w:gridCol w:w="1342"/>
        <w:gridCol w:w="64"/>
      </w:tblGrid>
      <w:tr>
        <w:trPr/>
        <w:tc>
          <w:tcPr>
            <w:tcW w:w="3560" w:type="dxa"/>
            <w:tcBorders/>
            <w:vAlign w:val="center"/>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56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99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332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4" w:type="dxa"/>
            <w:tcBorders/>
            <w:vAlign w:val="bottom"/>
          </w:tcPr>
          <w:p>
            <w:pPr>
              <w:pStyle w:val="TableContents"/>
              <w:bidi w:val="0"/>
              <w:spacing w:before="0" w:after="283"/>
              <w:jc w:val="left"/>
              <w:rPr/>
            </w:pPr>
            <w:r>
              <w:rPr/>
              <w:t> </w:t>
            </w:r>
          </w:p>
        </w:tc>
      </w:tr>
      <w:tr>
        <w:trPr/>
        <w:tc>
          <w:tcPr>
            <w:tcW w:w="356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9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ADS</w:t>
            </w:r>
          </w:p>
        </w:tc>
        <w:tc>
          <w:tcPr>
            <w:tcW w:w="6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4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 Exercise</w:t>
            </w:r>
          </w:p>
        </w:tc>
        <w:tc>
          <w:tcPr>
            <w:tcW w:w="6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4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Full Exercise</w:t>
            </w:r>
          </w:p>
        </w:tc>
        <w:tc>
          <w:tcPr>
            <w:tcW w:w="64" w:type="dxa"/>
            <w:tcBorders/>
            <w:vAlign w:val="bottom"/>
          </w:tcPr>
          <w:p>
            <w:pPr>
              <w:pStyle w:val="TableContents"/>
              <w:bidi w:val="0"/>
              <w:spacing w:before="0" w:after="283"/>
              <w:jc w:val="left"/>
              <w:rPr/>
            </w:pPr>
            <w:r>
              <w:rPr/>
              <w:t> </w:t>
            </w:r>
          </w:p>
        </w:tc>
      </w:tr>
      <w:tr>
        <w:trPr/>
        <w:tc>
          <w:tcPr>
            <w:tcW w:w="35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Initial price to public</w:t>
            </w:r>
          </w:p>
        </w:tc>
        <w:tc>
          <w:tcPr>
            <w:tcW w:w="28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835" w:type="dxa"/>
            <w:tcBorders/>
            <w:shd w:fill="CCEEFF" w:val="clear"/>
            <w:vAlign w:val="bottom"/>
          </w:tcPr>
          <w:p>
            <w:pPr>
              <w:pStyle w:val="TableContents"/>
              <w:bidi w:val="0"/>
              <w:spacing w:before="0" w:after="283"/>
              <w:jc w:val="right"/>
              <w:rPr/>
            </w:pPr>
            <w:r>
              <w:rPr/>
              <w:t>29.35</w:t>
            </w:r>
          </w:p>
        </w:tc>
        <w:tc>
          <w:tcPr>
            <w:tcW w:w="60"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1342" w:type="dxa"/>
            <w:tcBorders/>
            <w:shd w:fill="CCEEFF" w:val="clear"/>
            <w:vAlign w:val="bottom"/>
          </w:tcPr>
          <w:p>
            <w:pPr>
              <w:pStyle w:val="TableContents"/>
              <w:bidi w:val="0"/>
              <w:spacing w:before="0" w:after="283"/>
              <w:jc w:val="right"/>
              <w:rPr/>
            </w:pPr>
            <w:r>
              <w:rPr/>
              <w:t>225,995,000</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1342" w:type="dxa"/>
            <w:tcBorders/>
            <w:shd w:fill="CCEEFF" w:val="clear"/>
            <w:vAlign w:val="bottom"/>
          </w:tcPr>
          <w:p>
            <w:pPr>
              <w:pStyle w:val="TableContents"/>
              <w:bidi w:val="0"/>
              <w:spacing w:before="0" w:after="283"/>
              <w:jc w:val="right"/>
              <w:rPr/>
            </w:pPr>
            <w:r>
              <w:rPr/>
              <w:t>259,894,250</w:t>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3560"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w:t>
            </w:r>
          </w:p>
        </w:tc>
        <w:tc>
          <w:tcPr>
            <w:tcW w:w="286"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835" w:type="dxa"/>
            <w:tcBorders/>
            <w:vAlign w:val="bottom"/>
          </w:tcPr>
          <w:p>
            <w:pPr>
              <w:pStyle w:val="TableContents"/>
              <w:bidi w:val="0"/>
              <w:spacing w:before="0" w:after="283"/>
              <w:jc w:val="right"/>
              <w:rPr/>
            </w:pPr>
            <w:r>
              <w:rPr/>
              <w:t>1.761</w:t>
            </w:r>
          </w:p>
        </w:tc>
        <w:tc>
          <w:tcPr>
            <w:tcW w:w="6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1342" w:type="dxa"/>
            <w:tcBorders/>
            <w:vAlign w:val="bottom"/>
          </w:tcPr>
          <w:p>
            <w:pPr>
              <w:pStyle w:val="TableContents"/>
              <w:bidi w:val="0"/>
              <w:spacing w:before="0" w:after="283"/>
              <w:jc w:val="right"/>
              <w:rPr/>
            </w:pPr>
            <w:r>
              <w:rPr/>
              <w:t>13,559,700</w:t>
            </w:r>
          </w:p>
        </w:tc>
        <w:tc>
          <w:tcPr>
            <w:tcW w:w="60"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w:t>
            </w:r>
          </w:p>
        </w:tc>
        <w:tc>
          <w:tcPr>
            <w:tcW w:w="1342" w:type="dxa"/>
            <w:tcBorders/>
            <w:vAlign w:val="bottom"/>
          </w:tcPr>
          <w:p>
            <w:pPr>
              <w:pStyle w:val="TableContents"/>
              <w:bidi w:val="0"/>
              <w:spacing w:before="0" w:after="283"/>
              <w:jc w:val="right"/>
              <w:rPr/>
            </w:pPr>
            <w:r>
              <w:rPr/>
              <w:t>15,593,655</w:t>
            </w:r>
          </w:p>
        </w:tc>
        <w:tc>
          <w:tcPr>
            <w:tcW w:w="64" w:type="dxa"/>
            <w:tcBorders/>
            <w:vAlign w:val="bottom"/>
          </w:tcPr>
          <w:p>
            <w:pPr>
              <w:pStyle w:val="TableContents"/>
              <w:bidi w:val="0"/>
              <w:spacing w:before="0" w:after="283"/>
              <w:jc w:val="left"/>
              <w:rPr/>
            </w:pPr>
            <w:r>
              <w:rPr/>
              <w:t> </w:t>
            </w:r>
          </w:p>
        </w:tc>
      </w:tr>
      <w:tr>
        <w:trPr/>
        <w:tc>
          <w:tcPr>
            <w:tcW w:w="35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before expenses, to us</w:t>
            </w:r>
          </w:p>
        </w:tc>
        <w:tc>
          <w:tcPr>
            <w:tcW w:w="286"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835" w:type="dxa"/>
            <w:tcBorders/>
            <w:shd w:fill="CCEEFF" w:val="clear"/>
            <w:vAlign w:val="bottom"/>
          </w:tcPr>
          <w:p>
            <w:pPr>
              <w:pStyle w:val="TableContents"/>
              <w:bidi w:val="0"/>
              <w:spacing w:before="0" w:after="283"/>
              <w:jc w:val="right"/>
              <w:rPr/>
            </w:pPr>
            <w:r>
              <w:rPr/>
              <w:t>27.589</w:t>
            </w:r>
          </w:p>
        </w:tc>
        <w:tc>
          <w:tcPr>
            <w:tcW w:w="60"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1342" w:type="dxa"/>
            <w:tcBorders/>
            <w:shd w:fill="CCEEFF" w:val="clear"/>
            <w:vAlign w:val="bottom"/>
          </w:tcPr>
          <w:p>
            <w:pPr>
              <w:pStyle w:val="TableContents"/>
              <w:bidi w:val="0"/>
              <w:spacing w:before="0" w:after="283"/>
              <w:jc w:val="right"/>
              <w:rPr/>
            </w:pPr>
            <w:r>
              <w:rPr/>
              <w:t>212,435,300</w:t>
            </w:r>
          </w:p>
        </w:tc>
        <w:tc>
          <w:tcPr>
            <w:tcW w:w="60"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w:t>
            </w:r>
          </w:p>
        </w:tc>
        <w:tc>
          <w:tcPr>
            <w:tcW w:w="1342" w:type="dxa"/>
            <w:tcBorders/>
            <w:shd w:fill="CCEEFF" w:val="clear"/>
            <w:vAlign w:val="bottom"/>
          </w:tcPr>
          <w:p>
            <w:pPr>
              <w:pStyle w:val="TableContents"/>
              <w:bidi w:val="0"/>
              <w:spacing w:before="0" w:after="283"/>
              <w:jc w:val="right"/>
              <w:rPr/>
            </w:pPr>
            <w:r>
              <w:rPr/>
              <w:t>244,300,595</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estimated offering expenses payable by us, exclusive of the underwriting discounts and commissions, are approximately $800,000. We have agreed to reimburse the underwriters for expense relating to clearance of this offering with the Financial Industry Regulatory Authority up to $20,000. </w:t>
      </w:r>
    </w:p>
    <w:p>
      <w:pPr>
        <w:pStyle w:val="TextBody"/>
        <w:bidi w:val="0"/>
        <w:spacing w:before="240" w:after="0"/>
        <w:jc w:val="left"/>
        <w:rPr>
          <w:rFonts w:ascii="Times New Roman" w:hAnsi="Times New Roman"/>
          <w:sz w:val="20"/>
        </w:rPr>
      </w:pPr>
      <w:r>
        <w:rPr>
          <w:rFonts w:ascii="Times New Roman" w:hAnsi="Times New Roman"/>
          <w:sz w:val="20"/>
        </w:rPr>
        <w:t xml:space="preserve">Our ADSs are listed on the Nasdaq Global Select Market under the symbol “LEGN.”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have agreed that, without the prior written consent of Morgan Stanley Asia Limited and Jefferies LLC on behalf of the underwriters, we will not, and will not publicly disclose an intention to, during the period ending 60 days after the date of this prospectus supplement (the “restricted period”) subject to certain exceptions: (1) offer, pledge, sell, contract to sell, sell any option or contract to purchase, purchase any option or contract to sell, grant any option, right or warrant to purchase, lend or otherwise transfer or dispose of, directly or indirectly, any of our ordinary shares or ADSs or any securities convertible into or exercisable or exchangeable for our ordinary shares or ADSs; (2) enter into any swap or other arrangement that transfers to another, in whole or in part, any of the economic consequences of ownership of our ordinary shares or ADSs, whether any such transaction described in clause (1) or (2) above is to be settled by delivery of our ordinary shares or ADSs or such other securities, in cash or otherwise; or (3) file any registration statement with the SEC relating to the offering of any of our ordinary shares or ADSs or any securities convertible into or exercisable or exchangeable for our ordinary shares or ADSs. </w:t>
      </w:r>
    </w:p>
    <w:p>
      <w:pPr>
        <w:pStyle w:val="TextBody"/>
        <w:bidi w:val="0"/>
        <w:spacing w:before="240" w:after="0"/>
        <w:jc w:val="left"/>
        <w:rPr>
          <w:rFonts w:ascii="Times New Roman" w:hAnsi="Times New Roman"/>
          <w:sz w:val="20"/>
        </w:rPr>
      </w:pPr>
      <w:r>
        <w:rPr>
          <w:rFonts w:ascii="Times New Roman" w:hAnsi="Times New Roman"/>
          <w:sz w:val="20"/>
        </w:rPr>
        <w:t xml:space="preserve">The restrictions described in the immediately preceding paragraph do not apply in certain circumstances, including: </w:t>
      </w:r>
    </w:p>
    <w:p>
      <w:pPr>
        <w:pStyle w:val="TextBody"/>
        <w:bidi w:val="0"/>
        <w:spacing w:before="120" w:after="0"/>
        <w:jc w:val="left"/>
        <w:rPr>
          <w:rFonts w:ascii="Times New Roman" w:hAnsi="Times New Roman"/>
          <w:sz w:val="20"/>
        </w:rPr>
      </w:pPr>
      <w:r>
        <w:rPr>
          <w:rFonts w:ascii="Times New Roman" w:hAnsi="Times New Roman"/>
          <w:sz w:val="20"/>
        </w:rPr>
        <w:t xml:space="preserve">(1) the sale of the ADSs and the ordinary shares represented by such ADSs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(2) the issuance by us of ordinary shares or ADSs upon the exercise of an option or warrant or the conversion of a security outstanding on the date of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(3) the grant of options, restricted stock units or any other type of equity award described in this prospectus supplement, or the issuance of our ordinary shares or ADSs by us (whether upon the exercise of stock options or otherwise) to our employees, officers, directors, advisors or consultants pursuant to employee benefit plans in effect on the date of this prospectus supplement and described in this prospectus supplement; provided that each recipient of ordinary shares, ADSs or any securities convertible into or exercisable or exchangeable for ordinary shares pursuant to this clause (3) shall execute a lock-up agreement with respect to the remaining portion of the restricted period; </w:t>
      </w:r>
    </w:p>
    <w:p>
      <w:pPr>
        <w:pStyle w:val="TextBody"/>
        <w:bidi w:val="0"/>
        <w:spacing w:before="240" w:after="0"/>
        <w:jc w:val="left"/>
        <w:rPr>
          <w:rFonts w:ascii="Times New Roman" w:hAnsi="Times New Roman"/>
          <w:sz w:val="20"/>
        </w:rPr>
      </w:pPr>
      <w:r>
        <w:rPr>
          <w:rFonts w:ascii="Times New Roman" w:hAnsi="Times New Roman"/>
          <w:sz w:val="20"/>
        </w:rPr>
        <w:t xml:space="preserve">(4) the filing by us of a registration statement on Form S-8 relating to the issuance, vesting, exercise or settlement of equity awards granted or to be granted pursuant to any employee benefit plan in effect on the date of this prospectus supplement and described in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(5) facilitating the establishment of a trading plan on behalf of a shareholder, officer or director of the Company pursuant to Rule 10b5-1 under the Exchange Act for the transfer of ordinary shares or ADSs, provided that (i) such plan does not provide for the transfer of ordinary shares or ADSs during the restricted period and (ii) to the extent a public announcement or filing under the Exchange Act, if any, is required of or voluntarily made by us regarding the establishment of such plan, such announcement or filing shall include a statement to the effect that no transfer of ordinary shares or ADSs may be made under such plan during the restricted period; or </w:t>
      </w:r>
    </w:p>
    <w:p>
      <w:pPr>
        <w:pStyle w:val="TextBody"/>
        <w:bidi w:val="0"/>
        <w:spacing w:before="240" w:after="0"/>
        <w:jc w:val="left"/>
        <w:rPr>
          <w:rFonts w:ascii="Times New Roman" w:hAnsi="Times New Roman"/>
          <w:sz w:val="20"/>
        </w:rPr>
      </w:pPr>
      <w:r>
        <w:rPr>
          <w:rFonts w:ascii="Times New Roman" w:hAnsi="Times New Roman"/>
          <w:sz w:val="20"/>
        </w:rPr>
        <w:t xml:space="preserve">(6) the sale or issuance of or entry into an agreement to sell or issue ordinary shares, ADSs or any securities convertible into or exercisable or exchangeable for ordinary shares or ADSs in connection with one or more mergers; acquisitions of securities, businesses, property or other assets, products or technologies; joint ventures; commercial relationships or other strategic corporate transactions or alliances; provided that the aggregate amounts of ordinary shares, ADSs or any securities convertible into or exercisable or exchangeable for ordinary shares or ADSs (on an as-converted, as-exercised or as-exchanged basis) that we may sell or issue or agree to sell or issue pursuant to this clause (6) shall not exceed 10% of the total number of ordinary shares or ADSs of the Company issued and outstanding immediately following the completion of this offering determined on a fully-diluted basis, and provided further that each recipient of ordinary shares, ADSs or any securities convertible into or exercisable or exchangeable for ordinary shares or ADSs pursuant to this clause (6) shall execute a lock-up agreement with respect to the remaining portion of the restricted period. </w:t>
      </w:r>
    </w:p>
    <w:p>
      <w:pPr>
        <w:pStyle w:val="TextBody"/>
        <w:bidi w:val="0"/>
        <w:spacing w:before="240" w:after="0"/>
        <w:jc w:val="left"/>
        <w:rPr>
          <w:rFonts w:ascii="Times New Roman" w:hAnsi="Times New Roman"/>
          <w:sz w:val="20"/>
        </w:rPr>
      </w:pPr>
      <w:r>
        <w:rPr>
          <w:rFonts w:ascii="Times New Roman" w:hAnsi="Times New Roman"/>
          <w:sz w:val="20"/>
        </w:rPr>
        <w:t xml:space="preserve">Each of our directors, executive officers and one of our shareholders have agreed that, without the prior written consent of Morgan Stanley Asia Limited and Jefferies LLC on behalf of the underwriters, it will not,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will not publicly disclose an intention to, during the period ending 60 days after the date of this prospectus supplement, (1) offer, pledge, sell, contract to sell, sell any option or contract to purchase, purchase any option or contract to sell, grant any option, right or warrant to purchase, lend or otherwise transfer or dispose of, directly or indirectly, any of our ordinary shares or ADSs or any securities convertible into or exercisable or exchangeable for our ordinary shares or ADSs; (2) enter into any swap or other arrangement that transfers to another, in whole or in part, any of the economic consequences of ownership of our ordinary shares or ADSs, whether any such transaction described in clause (1) or (2) above is to be settled by delivery of our ordinary shares or ADSs or such other securities, in cash or otherwise. </w:t>
      </w:r>
    </w:p>
    <w:p>
      <w:pPr>
        <w:pStyle w:val="TextBody"/>
        <w:bidi w:val="0"/>
        <w:spacing w:before="240" w:after="0"/>
        <w:jc w:val="left"/>
        <w:rPr>
          <w:rFonts w:ascii="Times New Roman" w:hAnsi="Times New Roman"/>
          <w:sz w:val="20"/>
        </w:rPr>
      </w:pPr>
      <w:r>
        <w:rPr>
          <w:rFonts w:ascii="Times New Roman" w:hAnsi="Times New Roman"/>
          <w:sz w:val="20"/>
        </w:rPr>
        <w:t xml:space="preserve">The restrictions described in the immediately preceding paragraph do not apply in certain circumstances, including: </w:t>
      </w:r>
    </w:p>
    <w:p>
      <w:pPr>
        <w:pStyle w:val="TextBody"/>
        <w:bidi w:val="0"/>
        <w:spacing w:before="120" w:after="0"/>
        <w:jc w:val="left"/>
        <w:rPr>
          <w:rFonts w:ascii="Times New Roman" w:hAnsi="Times New Roman"/>
          <w:sz w:val="20"/>
        </w:rPr>
      </w:pPr>
      <w:r>
        <w:rPr>
          <w:rFonts w:ascii="Times New Roman" w:hAnsi="Times New Roman"/>
          <w:sz w:val="20"/>
        </w:rPr>
        <w:t xml:space="preserve">(1) transactions relating to our ordinary shares or ADSs or other securities acquired in this offering or in open market transactions after the completion of this offering, provided that no filing under Section 16(a) of the Exchange Act or any other public filing or disclosure reporting a reduction in beneficial ownership of ordinary shares or ADSs shall be required or voluntarily made during the restricted period; </w:t>
      </w:r>
    </w:p>
    <w:p>
      <w:pPr>
        <w:pStyle w:val="TextBody"/>
        <w:bidi w:val="0"/>
        <w:spacing w:before="240" w:after="0"/>
        <w:jc w:val="left"/>
        <w:rPr>
          <w:rFonts w:ascii="Times New Roman" w:hAnsi="Times New Roman"/>
          <w:sz w:val="20"/>
        </w:rPr>
      </w:pPr>
      <w:r>
        <w:rPr>
          <w:rFonts w:ascii="Times New Roman" w:hAnsi="Times New Roman"/>
          <w:sz w:val="20"/>
        </w:rPr>
        <w:t xml:space="preserve">(2) transfers of our ordinary shares or ADSs as bona fide gifts, or for bona fide estate planning purposes, upon death or by will, testamentary document or intestate succession, provided that no filing under Section 16(a) of the Exchange Act or any other public filing or disclosure shall be voluntarily made during the restricted period and any required filing shall clearly indicate in the footnotes thereto that the filing relates to the circumstances described in this clause (2), including that the securities remain subject to the terms of the lock-up agreement and provided further that each transferee or donee signs a lock-up agreement; </w:t>
      </w:r>
    </w:p>
    <w:p>
      <w:pPr>
        <w:pStyle w:val="TextBody"/>
        <w:bidi w:val="0"/>
        <w:spacing w:before="240" w:after="0"/>
        <w:jc w:val="left"/>
        <w:rPr>
          <w:rFonts w:ascii="Times New Roman" w:hAnsi="Times New Roman"/>
          <w:sz w:val="20"/>
        </w:rPr>
      </w:pPr>
      <w:r>
        <w:rPr>
          <w:rFonts w:ascii="Times New Roman" w:hAnsi="Times New Roman"/>
          <w:sz w:val="20"/>
        </w:rPr>
        <w:t xml:space="preserve">(3) transfers of our ordinary shares or ADSs to an immediate family member, not involving a change in beneficial ownership, to certain trusts or, if the holder is a trust, to any beneficiary of such trust or the estate of any such beneficiary, provided that no filing under Section 16(a) of the Exchange Act or any other public filing or disclosure reporting a reduction in beneficial ownership of ordinary shares or ADSs shall be required or voluntarily made during the restricted period and provided further that each transferee or donee signs a lock-up agreement; </w:t>
      </w:r>
    </w:p>
    <w:p>
      <w:pPr>
        <w:pStyle w:val="TextBody"/>
        <w:bidi w:val="0"/>
        <w:spacing w:before="240" w:after="0"/>
        <w:jc w:val="left"/>
        <w:rPr>
          <w:rFonts w:ascii="Times New Roman" w:hAnsi="Times New Roman"/>
          <w:sz w:val="20"/>
        </w:rPr>
      </w:pPr>
      <w:r>
        <w:rPr>
          <w:rFonts w:ascii="Times New Roman" w:hAnsi="Times New Roman"/>
          <w:sz w:val="20"/>
        </w:rPr>
        <w:t xml:space="preserve">(4) distributions of our ordinary shares or ADSs or any security convertible into or exercisable or exchangeable for our ordinary shares or ADSs to shareholders, direct or indirect affiliates, current partners (general or limited), members or managers of such holders, or to the estates of any such shareholders, affiliates, partners, members or managers, provided that such distribution shall not involve a disposition for value and no filing under Section 16(a) of the Exchange Act or any other public filing or disclosure reporting a reduction in beneficial ownership of ordinary shares or ADSs shall be required or voluntarily made during the restricted period and provided further that each distributee signs a lock-up agreement; </w:t>
      </w:r>
    </w:p>
    <w:p>
      <w:pPr>
        <w:pStyle w:val="TextBody"/>
        <w:bidi w:val="0"/>
        <w:spacing w:before="240" w:after="0"/>
        <w:jc w:val="left"/>
        <w:rPr>
          <w:rFonts w:ascii="Times New Roman" w:hAnsi="Times New Roman"/>
          <w:sz w:val="20"/>
        </w:rPr>
      </w:pPr>
      <w:r>
        <w:rPr>
          <w:rFonts w:ascii="Times New Roman" w:hAnsi="Times New Roman"/>
          <w:sz w:val="20"/>
        </w:rPr>
        <w:t xml:space="preserve">(5) the receipt by such holder of our ordinary shares or ADSs upon the exercise of options or warrants or upon the vesting and settlement of RSUs outstanding described in this prospectus supplement provided that the ordinary shares or ADSs received upon exercise of such option or warrant or vesting and settlement of such RSU shall remain subject to this agreement and provided further no filing under Section 16(a) of the Exchange Act, or any other public filing or disclosure of such receipt or transfer by or on behalf of such holder shall be voluntarily made during the restricted period, and any required filing under Section 16(a) of the Exchange Act shall clearly indicate in the footnotes thereto that the filing relates to the circumstances described in this clause (5); </w:t>
      </w:r>
    </w:p>
    <w:p>
      <w:pPr>
        <w:pStyle w:val="TextBody"/>
        <w:bidi w:val="0"/>
        <w:spacing w:before="240" w:after="0"/>
        <w:jc w:val="left"/>
        <w:rPr>
          <w:rFonts w:ascii="Times New Roman" w:hAnsi="Times New Roman"/>
          <w:sz w:val="20"/>
        </w:rPr>
      </w:pPr>
      <w:r>
        <w:rPr>
          <w:rFonts w:ascii="Times New Roman" w:hAnsi="Times New Roman"/>
          <w:sz w:val="20"/>
        </w:rPr>
        <w:t xml:space="preserve">(6) (i) transfers of our ordinary shares or ADSs to us upon a vesting event of our securities or upon the exercise of options or warrants to purchase our securities on a “cashless” or “net exercise” basis to the extent permitted by the instruments representing such options or warrants so long as such “cashless” exercise or “net exercise” is effected solely by the surrender of outstanding options, warrants or RSUs to us and our cancellation of all or a portion thereof to pay the exercise price and/or withholding tax obligations, but for the avoidance of doubt, excluding all methods of exercise that would involve a sale of any ordinary shares or ADSs relating to options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warrants, whether to cover the applicable exercise price, withholding tax obligations or otherwise, or (ii) the transfer or disposition of securities in connection with the vesting or settlement of RSUs, so long as such sale is effected pursuant to our sell to cover policy solely in an amount sufficient to cover withholding taxes due in connection with such RSUs; provided that, provided no filing under Section 16(a) of the Exchange Act, or any other public filing or disclosure of such receipt or transfer by or on behalf of such holder shall be voluntarily made during the restricted period, and any required filing under Section 16(a) of the Exchange Act shall clearly indicate in the footnotes thereto that the filing relates to the circumstances described in this clause (6); </w:t>
      </w:r>
    </w:p>
    <w:p>
      <w:pPr>
        <w:pStyle w:val="TextBody"/>
        <w:bidi w:val="0"/>
        <w:spacing w:before="240" w:after="0"/>
        <w:jc w:val="left"/>
        <w:rPr>
          <w:rFonts w:ascii="Times New Roman" w:hAnsi="Times New Roman"/>
          <w:sz w:val="20"/>
        </w:rPr>
      </w:pPr>
      <w:r>
        <w:rPr>
          <w:rFonts w:ascii="Times New Roman" w:hAnsi="Times New Roman"/>
          <w:sz w:val="20"/>
        </w:rPr>
        <w:t xml:space="preserve">(7) sales of securities pursuant to the terms of the Underwriting Agreement; </w:t>
      </w:r>
    </w:p>
    <w:p>
      <w:pPr>
        <w:pStyle w:val="TextBody"/>
        <w:bidi w:val="0"/>
        <w:spacing w:before="240" w:after="0"/>
        <w:jc w:val="left"/>
        <w:rPr>
          <w:rFonts w:ascii="Times New Roman" w:hAnsi="Times New Roman"/>
          <w:sz w:val="20"/>
        </w:rPr>
      </w:pPr>
      <w:r>
        <w:rPr>
          <w:rFonts w:ascii="Times New Roman" w:hAnsi="Times New Roman"/>
          <w:sz w:val="20"/>
        </w:rPr>
        <w:t xml:space="preserve">(8) the establishment by such holders of trading plans under Rule 10b5-1 under the Exchange Act provided that such plan does not provide for the transfer of ordinary shares or ADSs during the restricted period and provided further that to the extent a public announcement or filing under the Exchange Act, if any, is required of or voluntarily made by or on behalf of such holder or us regarding the establishment of such plan, such announcement or filing shall include a statement to the effect that no transfer of our ordinary shares or ADSs may be made under such plan during the restricted period; </w:t>
      </w:r>
    </w:p>
    <w:p>
      <w:pPr>
        <w:pStyle w:val="TextBody"/>
        <w:bidi w:val="0"/>
        <w:spacing w:before="240" w:after="0"/>
        <w:jc w:val="left"/>
        <w:rPr>
          <w:rFonts w:ascii="Times New Roman" w:hAnsi="Times New Roman"/>
          <w:sz w:val="20"/>
        </w:rPr>
      </w:pPr>
      <w:r>
        <w:rPr>
          <w:rFonts w:ascii="Times New Roman" w:hAnsi="Times New Roman"/>
          <w:sz w:val="20"/>
        </w:rPr>
        <w:t xml:space="preserve">(9) the sale of ordinary shares or ADSs pursuant to a trading plan pursuant to Rule 10b5-1 under the Exchange Act that is existing as of the date of this prospectus supplement, provided that to the extent a public announcement or filing under the Exchange Act is required of such holder or us regarding the sale, such announcement or filing shall include a statement to the effect that the sale occurred pursuant to such trading plan; </w:t>
      </w:r>
    </w:p>
    <w:p>
      <w:pPr>
        <w:pStyle w:val="TextBody"/>
        <w:bidi w:val="0"/>
        <w:spacing w:before="240" w:after="0"/>
        <w:jc w:val="left"/>
        <w:rPr>
          <w:rFonts w:ascii="Times New Roman" w:hAnsi="Times New Roman"/>
          <w:sz w:val="20"/>
        </w:rPr>
      </w:pPr>
      <w:r>
        <w:rPr>
          <w:rFonts w:ascii="Times New Roman" w:hAnsi="Times New Roman"/>
          <w:sz w:val="20"/>
        </w:rPr>
        <w:t xml:space="preserve">(10) transfers of our ordinary shares or ADSs or any security convertible into or exercisable or exchangeable for our ordinary shares or ADSs pursuant to a qualified domestic order in connection with a divorce settlement or other court order provided that each transferee signs a lock-up agreement and provided further that no filing under Section 16(a) of the Exchange Act or any other public filing or disclosure shall be voluntarily made during the restricted period, and any required filing shall clearly indicate in the footnotes thereto that such transfer is by operation of law, court order or in connection with a divorce settlement,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(11) transfers of our ordinary shares or ADSs or any security convertible into or exercisable or exchangeable for our ordinary shares or ADSs to us pursuant to any contractual arrangement described in this prospectus supplement under which we have the option to repurchase such shares or a right of first refusal over such shares in the event such holder ceases to provide services to us and provided further that no filing under the Exchange Act or other public filing, report or announcement shall be voluntarily made with respect to such transfer during the restricted period and if such holder is required to file a report under the Exchange Act reporting a change in beneficial ownership during the restricted period, such holder shall clearly indicate in the footnotes thereto that the filing relates to the termination of such holder’s employment or other services; and </w:t>
      </w:r>
    </w:p>
    <w:p>
      <w:pPr>
        <w:pStyle w:val="TextBody"/>
        <w:bidi w:val="0"/>
        <w:spacing w:before="240" w:after="0"/>
        <w:jc w:val="left"/>
        <w:rPr>
          <w:rFonts w:ascii="Times New Roman" w:hAnsi="Times New Roman"/>
          <w:sz w:val="20"/>
        </w:rPr>
      </w:pPr>
      <w:r>
        <w:rPr>
          <w:rFonts w:ascii="Times New Roman" w:hAnsi="Times New Roman"/>
          <w:sz w:val="20"/>
        </w:rPr>
        <w:t xml:space="preserve">(12) transfers of our ordinary shares or ADSs or any security convertible into or exercisable or exchangeable for our ordinary shares or ADSs pursuant to a bona fide third-party tender offer, merger, consolidation, or other similar transaction that is approved by our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Morgan Stanley Asia Limited and Jefferies LLC, in their sole discretion, may release the ordinary shares, ADSs and other securities subject to the lock-up agreements described above in whole or in part at any time. </w:t>
      </w:r>
    </w:p>
    <w:p>
      <w:pPr>
        <w:pStyle w:val="TextBody"/>
        <w:bidi w:val="0"/>
        <w:spacing w:before="240" w:after="0"/>
        <w:jc w:val="left"/>
        <w:rPr>
          <w:rFonts w:ascii="Times New Roman" w:hAnsi="Times New Roman"/>
          <w:sz w:val="20"/>
        </w:rPr>
      </w:pPr>
      <w:r>
        <w:rPr>
          <w:rFonts w:ascii="Times New Roman" w:hAnsi="Times New Roman"/>
          <w:sz w:val="20"/>
        </w:rPr>
        <w:t xml:space="preserve">In order to facilitate the offering of the ADSs, the underwriters may engage in transactions that stabilize, maintain or otherwise affect the price of the ADSs. Specifically, the underwriters may sell more ADSs than they are obligated to purchase under the underwriting agreement, creating a short position. A short sale is covered if the short position is no greater than the number of ADSs available for purchase by the underwriters under the option to purchase additional shares. The underwriters can close out a covered short sale by exercising the option to purchase additional shares or purchasing ADSs in the open market. In determining the source of ADSs to close out a covered short sale, the underwriters will consider, among other things, the open market price of ADSs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compared to the price available under the option to purchase additional shares. The underwriters may also sell ADSs in excess of the option to purchase additional shares, creating a naked short position. The underwriters must close out any naked short position by purchasing ADSs in the open market. A naked short position is more likely to be created if the underwriters are concerned that there may be downward pressure on the price of the ADSs in the open market after pricing that could adversely affect investors who purchase in this offering. As an additional means of facilitating this offering, the underwriters may bid for, and purchase, ADSs in the open market to stabilize the price of the ADSs. These activities may raise or maintain the market price of the ADSs above independent market levels or prevent or retard a decline in the market price of the ADSs. The underwriters are not required to engage in these activities and may end any of these activities at any time. </w:t>
      </w:r>
    </w:p>
    <w:p>
      <w:pPr>
        <w:pStyle w:val="TextBody"/>
        <w:bidi w:val="0"/>
        <w:spacing w:before="240" w:after="0"/>
        <w:jc w:val="left"/>
        <w:rPr>
          <w:rFonts w:ascii="Times New Roman" w:hAnsi="Times New Roman"/>
          <w:sz w:val="20"/>
        </w:rPr>
      </w:pPr>
      <w:r>
        <w:rPr>
          <w:rFonts w:ascii="Times New Roman" w:hAnsi="Times New Roman"/>
          <w:sz w:val="20"/>
        </w:rPr>
        <w:t xml:space="preserve">We and the underwriters have agreed to indemnify each other against certain liabilities,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A prospectus supplement in electronic format may be made available on websites maintained by one or more underwriters, or selling group members, if any, participating in this offering. The representatives may agree to allocate a number of ADSs to underwriters for sale to their online brokerage account holders. Internet distributions will be allocated by the representatives to underwriters that may make Internet distributions on the same basis as other allocations. </w:t>
      </w:r>
    </w:p>
    <w:p>
      <w:pPr>
        <w:pStyle w:val="TextBody"/>
        <w:bidi w:val="0"/>
        <w:spacing w:before="360" w:after="0"/>
        <w:jc w:val="left"/>
        <w:rPr>
          <w:rFonts w:ascii="Times New Roman" w:hAnsi="Times New Roman"/>
          <w:b/>
          <w:sz w:val="20"/>
        </w:rPr>
      </w:pPr>
      <w:r>
        <w:rPr>
          <w:rFonts w:ascii="Times New Roman" w:hAnsi="Times New Roman"/>
          <w:b/>
          <w:sz w:val="20"/>
        </w:rPr>
        <w:t xml:space="preserve">Other Relationships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and other financial and non-financial activities and services. Certain of the underwriters and their respective affiliates have engaged in, and may in the future engage in, a variety of these services in the ordinary course of business with us or our affiliates. They have received, or may in the future receive, customary fees and commissions for these transactions.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 </w:t>
      </w:r>
    </w:p>
    <w:p>
      <w:pPr>
        <w:pStyle w:val="TextBody"/>
        <w:bidi w:val="0"/>
        <w:spacing w:before="360" w:after="0"/>
        <w:jc w:val="left"/>
        <w:rPr>
          <w:rFonts w:ascii="Times New Roman" w:hAnsi="Times New Roman"/>
          <w:b/>
          <w:sz w:val="20"/>
        </w:rPr>
      </w:pPr>
      <w:r>
        <w:rPr>
          <w:rFonts w:ascii="Times New Roman" w:hAnsi="Times New Roman"/>
          <w:b/>
          <w:sz w:val="20"/>
        </w:rPr>
        <w:t xml:space="preserve">Pricing of the Offering </w:t>
      </w:r>
    </w:p>
    <w:p>
      <w:pPr>
        <w:pStyle w:val="TextBody"/>
        <w:bidi w:val="0"/>
        <w:spacing w:before="120" w:after="0"/>
        <w:jc w:val="left"/>
        <w:rPr>
          <w:rFonts w:ascii="Times New Roman" w:hAnsi="Times New Roman"/>
          <w:sz w:val="20"/>
        </w:rPr>
      </w:pPr>
      <w:r>
        <w:rPr>
          <w:rFonts w:ascii="Times New Roman" w:hAnsi="Times New Roman"/>
          <w:sz w:val="20"/>
        </w:rPr>
        <w:t xml:space="preserve">The public offering price will be determined between us and the representatives at the time of pricing and may be at a discount to the current market price. Accordingly, the recent market price used throughout this prospectus supplement may not be indicative of the public offering price. Among the factors considered in determining the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 </w:t>
      </w:r>
    </w:p>
    <w:p>
      <w:pPr>
        <w:pStyle w:val="TextBody"/>
        <w:bidi w:val="0"/>
        <w:spacing w:before="360" w:after="0"/>
        <w:jc w:val="left"/>
        <w:rPr>
          <w:rFonts w:ascii="Times New Roman" w:hAnsi="Times New Roman"/>
          <w:b/>
          <w:sz w:val="20"/>
        </w:rPr>
      </w:pPr>
      <w:r>
        <w:rPr>
          <w:rFonts w:ascii="Times New Roman" w:hAnsi="Times New Roman"/>
          <w:b/>
          <w:sz w:val="20"/>
        </w:rPr>
        <w:t xml:space="preserve">Settlement </w:t>
      </w:r>
    </w:p>
    <w:p>
      <w:pPr>
        <w:pStyle w:val="TextBody"/>
        <w:bidi w:val="0"/>
        <w:spacing w:before="120" w:after="0"/>
        <w:jc w:val="left"/>
        <w:rPr>
          <w:rFonts w:ascii="Times New Roman" w:hAnsi="Times New Roman"/>
          <w:sz w:val="20"/>
        </w:rPr>
      </w:pPr>
      <w:r>
        <w:rPr>
          <w:rFonts w:ascii="Times New Roman" w:hAnsi="Times New Roman"/>
          <w:sz w:val="20"/>
        </w:rPr>
        <w:t xml:space="preserve">We expect that delivery of the ADSs will be made against payment therefor on or about the closing date specified in the last paragraph of the cover page of this prospectus supplement, which will be the second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day following the first trading date of the ADSs (this settlement cycle being referred to as “T+2”). Under Rule 15c6-1 of the Exchange Act, trades in the secondary market generally are required to settle in one business day, unless the parties to any such trade expressly agree otherwise. Accordingly, purchasers who wish to trade the ADSs on any day prior to the business day before delivery will be required, by virtue of the fact that the ADSs initially will settle in T+2, to specify an alternate settlement cycle at the time of any such trade to prevent a failed settlement. Purchasers of ADSs who wish to make such trades should consult their own advisors. </w:t>
      </w:r>
    </w:p>
    <w:p>
      <w:pPr>
        <w:pStyle w:val="TextBody"/>
        <w:bidi w:val="0"/>
        <w:spacing w:before="360" w:after="0"/>
        <w:jc w:val="left"/>
        <w:rPr>
          <w:rFonts w:ascii="Times New Roman" w:hAnsi="Times New Roman"/>
          <w:b/>
          <w:sz w:val="20"/>
        </w:rPr>
      </w:pPr>
      <w:r>
        <w:rPr>
          <w:rFonts w:ascii="Times New Roman" w:hAnsi="Times New Roman"/>
          <w:b/>
          <w:sz w:val="20"/>
        </w:rPr>
        <w:t xml:space="preserve">Selling Restrictions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In relation to each Member State of the European Economic Area (each a “Relevant State”), no ADSs have been offered or will be offered pursuant to the offering to the public in that Relevant State prior to the publication of a prospectus in relation to the ADSs which has been approved by the competent authority in that Relevant State or, where appropriate, approved in another Relevant State and notified to the competent authority in that Relevant State, all in accordance with the Prospectus Regulation, except that ADSs may be offered to the public in that Relevant State at any time under the following exemptions under the Prospectus Regulation: </w:t>
      </w:r>
    </w:p>
    <w:p>
      <w:pPr>
        <w:pStyle w:val="TextBody"/>
        <w:bidi w:val="0"/>
        <w:spacing w:before="120" w:after="0"/>
        <w:jc w:val="left"/>
        <w:rPr>
          <w:rFonts w:ascii="Times New Roman" w:hAnsi="Times New Roman"/>
          <w:sz w:val="20"/>
        </w:rPr>
      </w:pPr>
      <w:r>
        <w:rPr>
          <w:rFonts w:ascii="Times New Roman" w:hAnsi="Times New Roman"/>
          <w:sz w:val="20"/>
        </w:rPr>
        <w:t xml:space="preserve">(a) to any legal entity which is a qualified investor as defined under Article 2 of the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(b) to fewer than 150 natural or legal persons (other than qualified investors as defined under Article 2 of the Prospectus Regulation), subject to obtaining the prior consent of the representatives for any such offer; or </w:t>
      </w:r>
    </w:p>
    <w:p>
      <w:pPr>
        <w:pStyle w:val="TextBody"/>
        <w:bidi w:val="0"/>
        <w:spacing w:before="240" w:after="0"/>
        <w:jc w:val="left"/>
        <w:rPr>
          <w:rFonts w:ascii="Times New Roman" w:hAnsi="Times New Roman"/>
          <w:sz w:val="20"/>
        </w:rPr>
      </w:pPr>
      <w:r>
        <w:rPr>
          <w:rFonts w:ascii="Times New Roman" w:hAnsi="Times New Roman"/>
          <w:sz w:val="20"/>
        </w:rPr>
        <w:t xml:space="preserve">(c) in any other circumstances falling within Article 1(4) of the Prospectus Regulation,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no such offer of the ADSs shall require us or any of the representatives to publish a prospectus pursuant to Article 3 of the Prospectus Regulation or supplement a prospectus pursuant to Article 23 of the Prospectus Regulation. Each person who initially acquires any ADSs or to whom any offer is made will be deemed to have represented, acknowledged and agreed to and with each of the representatives and us that it is a “qualified investor” within the meaning of Article 2(e) of the Prospectus Regulation. In the case of any ADSs being offered to a financial intermediary as that term is used in the Prospectus Regulation, each such financial intermediary will be deemed to have represented, acknowledged and agreed that the ADSs acquired by it in the offer have not been acquired on a non-discretionary basis on behalf of, nor have they been acquired with a view to their offer or resale to, persons in circumstances which may give rise to an offer of ADSs to the public other than their offer or resale in a Relevant State to qualified investors as so defined or in circumstances in which the prior consent of the representatives have been obtained to each such proposed offer or resale.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the ADSs in any Relevant State means the communication in any form and by any means of sufficient information on the terms of the offer and any ADSs to be offered so as to enable an investor to decide to purchase or subscribe for any Shares, and the expression “Prospectus Regulation” means Regulation (EU) 2017/1129 (as amended). </w:t>
      </w:r>
    </w:p>
    <w:p>
      <w:pPr>
        <w:pStyle w:val="TextBody"/>
        <w:bidi w:val="0"/>
        <w:spacing w:before="360" w:after="0"/>
        <w:jc w:val="left"/>
        <w:rPr>
          <w:rFonts w:ascii="Times New Roman" w:hAnsi="Times New Roman"/>
          <w:b/>
          <w:i/>
          <w:sz w:val="20"/>
        </w:rPr>
      </w:pPr>
      <w:r>
        <w:rPr>
          <w:rFonts w:ascii="Times New Roman" w:hAnsi="Times New Roman"/>
          <w:b/>
          <w:i/>
          <w:sz w:val="20"/>
        </w:rPr>
        <w:t xml:space="preserve">United Kingdom </w:t>
      </w:r>
    </w:p>
    <w:p>
      <w:pPr>
        <w:pStyle w:val="TextBody"/>
        <w:bidi w:val="0"/>
        <w:spacing w:before="120" w:after="0"/>
        <w:jc w:val="left"/>
        <w:rPr>
          <w:rFonts w:ascii="Times New Roman" w:hAnsi="Times New Roman"/>
          <w:sz w:val="20"/>
        </w:rPr>
      </w:pPr>
      <w:r>
        <w:rPr>
          <w:rFonts w:ascii="Times New Roman" w:hAnsi="Times New Roman"/>
          <w:sz w:val="20"/>
        </w:rPr>
        <w:t xml:space="preserve">No ADSs have been offered or will be offered pursuant to the offering to the public in the United Kingdom prior to the publication of a prospectus in relation to the ADSs which has been approved by the Financial Conduct Authority, except that the ADSs may be offered to the public in the United Kingdom at any time: </w:t>
      </w:r>
    </w:p>
    <w:p>
      <w:pPr>
        <w:pStyle w:val="TextBody"/>
        <w:bidi w:val="0"/>
        <w:spacing w:before="120" w:after="0"/>
        <w:jc w:val="left"/>
        <w:rPr>
          <w:rFonts w:ascii="Times New Roman" w:hAnsi="Times New Roman"/>
          <w:sz w:val="20"/>
        </w:rPr>
      </w:pPr>
      <w:r>
        <w:rPr>
          <w:rFonts w:ascii="Times New Roman" w:hAnsi="Times New Roman"/>
          <w:sz w:val="20"/>
        </w:rPr>
        <w:t xml:space="preserve">(a) to any legal entity which is a qualified investor as defined under paragraph 14 of Schedule 1 to the POAT Regulations; </w:t>
      </w:r>
    </w:p>
    <w:p>
      <w:pPr>
        <w:pStyle w:val="TextBody"/>
        <w:bidi w:val="0"/>
        <w:spacing w:before="240" w:after="0"/>
        <w:jc w:val="left"/>
        <w:rPr>
          <w:rFonts w:ascii="Times New Roman" w:hAnsi="Times New Roman"/>
          <w:sz w:val="20"/>
        </w:rPr>
      </w:pPr>
      <w:r>
        <w:rPr>
          <w:rFonts w:ascii="Times New Roman" w:hAnsi="Times New Roman"/>
          <w:sz w:val="20"/>
        </w:rPr>
        <w:t xml:space="preserve">(b) to fewer than 150 natural or legal persons (other than qualified investors as defined under paragraph 15 of Schedule 1 to the POAT Regulations), subject to obtaining the prior consent of the representatives for any such offer; or </w:t>
      </w:r>
    </w:p>
    <w:p>
      <w:pPr>
        <w:pStyle w:val="TextBody"/>
        <w:bidi w:val="0"/>
        <w:spacing w:before="240" w:after="0"/>
        <w:jc w:val="left"/>
        <w:rPr>
          <w:rFonts w:ascii="Times New Roman" w:hAnsi="Times New Roman"/>
          <w:sz w:val="20"/>
        </w:rPr>
      </w:pPr>
      <w:r>
        <w:rPr>
          <w:rFonts w:ascii="Times New Roman" w:hAnsi="Times New Roman"/>
          <w:sz w:val="20"/>
        </w:rPr>
        <w:t xml:space="preserve">(c) in any other circumstances falling within Part 1 of Schedule 1 to the POAT Regulations,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no such offer of the ADSs shall require us or any of the representatives to publish a prospectus pursuant to Section 85 of the FSMA or supplement a prospectus pursuant to the POAT Regulations.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provision, the expression an “offer to the public” in relation to the ADSs in the United Kingdom means the communication in any form and by any means of sufficient information on the terms of the offer and any ADSs to be offered so as to enable an investor to decide to purchase or subscribe for any ADSs and the expression “POAT Regulations” means the Public Offers and Admissions to Trading Regulations 2024.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is only for distribution to and directed at: (i) in the United Kingdom, persons having professional experience in matters relating to investments falling within Article 19(5) of the Financial Services and Markets Act 2000 (Financial Promotion) Order 2005, as amended, or the Order, and high net worth entities falling within Article 49(2)(a) to (d) of the Order; (ii) persons who are outside the United Kingdom; and (iii) any other person to whom it can otherwise be lawfully distributed, or all such persons together, Relevant Persons. Any investment or investment activity to which this prospectus supplement relates is available only to and will be engaged in only with Relevant Persons, and any person who is not a Relevant Person should not rely on it. </w:t>
      </w:r>
    </w:p>
    <w:p>
      <w:pPr>
        <w:pStyle w:val="TextBody"/>
        <w:bidi w:val="0"/>
        <w:spacing w:before="360" w:after="0"/>
        <w:jc w:val="left"/>
        <w:rPr>
          <w:rFonts w:ascii="Times New Roman" w:hAnsi="Times New Roman"/>
          <w:b/>
          <w:i/>
          <w:sz w:val="20"/>
        </w:rPr>
      </w:pPr>
      <w:r>
        <w:rPr>
          <w:rFonts w:ascii="Times New Roman" w:hAnsi="Times New Roman"/>
          <w:b/>
          <w:i/>
          <w:sz w:val="20"/>
        </w:rPr>
        <w:t xml:space="preserve">Canada </w:t>
      </w:r>
    </w:p>
    <w:p>
      <w:pPr>
        <w:pStyle w:val="TextBody"/>
        <w:bidi w:val="0"/>
        <w:spacing w:before="120" w:after="0"/>
        <w:jc w:val="left"/>
        <w:rPr>
          <w:rFonts w:ascii="Times New Roman" w:hAnsi="Times New Roman"/>
          <w:sz w:val="20"/>
        </w:rPr>
      </w:pPr>
      <w:r>
        <w:rPr>
          <w:rFonts w:ascii="Times New Roman" w:hAnsi="Times New Roman"/>
          <w:sz w:val="20"/>
        </w:rPr>
        <w:t xml:space="preserve">The ADSs may be sold only to purchasers purchasing, or deemed to be purchasing, as principal that are accredited investors, as defined in National Instrument 45-106 </w:t>
      </w:r>
      <w:r>
        <w:rPr>
          <w:rFonts w:ascii="Times New Roman" w:hAnsi="Times New Roman"/>
          <w:i/>
          <w:sz w:val="20"/>
        </w:rPr>
        <w:t>Prospectus Exemptions</w:t>
      </w:r>
      <w:r>
        <w:rPr>
          <w:rFonts w:ascii="Times New Roman" w:hAnsi="Times New Roman"/>
          <w:sz w:val="20"/>
        </w:rPr>
        <w:t xml:space="preserve"> or subsection 73.3(1) of the </w:t>
      </w:r>
      <w:r>
        <w:rPr>
          <w:rFonts w:ascii="Times New Roman" w:hAnsi="Times New Roman"/>
          <w:i/>
          <w:sz w:val="20"/>
        </w:rPr>
        <w:t>Securities Act</w:t>
      </w:r>
      <w:r>
        <w:rPr>
          <w:rFonts w:ascii="Times New Roman" w:hAnsi="Times New Roman"/>
          <w:sz w:val="20"/>
        </w:rPr>
        <w:t xml:space="preserve"> (Ontario), and are permitted clients, as defined in National Instrument 31-103 </w:t>
      </w:r>
      <w:r>
        <w:rPr>
          <w:rFonts w:ascii="Times New Roman" w:hAnsi="Times New Roman"/>
          <w:i/>
          <w:sz w:val="20"/>
        </w:rPr>
        <w:t>Registration Requirements, Exemptions and Ongoing Registrant Obligations</w:t>
      </w:r>
      <w:r>
        <w:rPr>
          <w:rFonts w:ascii="Times New Roman" w:hAnsi="Times New Roman"/>
          <w:sz w:val="20"/>
        </w:rPr>
        <w:t xml:space="preserve">. Any resale of the ADSs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(or, in the case of securities issued or guaranteed by the government of a non-Canadian jurisdiction, section 3A.4) of National Instrument 33-105 </w:t>
      </w:r>
      <w:r>
        <w:rPr>
          <w:rFonts w:ascii="Times New Roman" w:hAnsi="Times New Roman"/>
          <w:i/>
          <w:sz w:val="20"/>
        </w:rPr>
        <w:t>Underwriting Conflicts</w:t>
      </w:r>
      <w:r>
        <w:rPr>
          <w:rFonts w:ascii="Times New Roman" w:hAnsi="Times New Roman"/>
          <w:sz w:val="20"/>
        </w:rPr>
        <w:t xml:space="preserve"> (NI 33-105), the underwriters are not required to comply with the disclosure requirements of NI 33-105 regarding underwriter conflicts of interest in connection with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Hong Kong </w:t>
      </w:r>
    </w:p>
    <w:p>
      <w:pPr>
        <w:pStyle w:val="TextBody"/>
        <w:bidi w:val="0"/>
        <w:spacing w:before="120" w:after="0"/>
        <w:jc w:val="left"/>
        <w:rPr>
          <w:rFonts w:ascii="Times New Roman" w:hAnsi="Times New Roman"/>
          <w:sz w:val="20"/>
        </w:rPr>
      </w:pPr>
      <w:r>
        <w:rPr>
          <w:rFonts w:ascii="Times New Roman" w:hAnsi="Times New Roman"/>
          <w:sz w:val="20"/>
        </w:rPr>
        <w:t xml:space="preserve">Our ADSs may not be offered or sold by means of any document other than (i) in circumstances which do not constitute an offer to the public within the meaning of the Companies (Winding Up and Miscellaneous Provisions) Ordinance (Chapter 32 of the Laws of Hong Kong) (“Companies (Winding Up and Miscellaneous Provisions) Ordinance”) or which do not constitute an invitation to the public within the meaning of the Securities and Futures Ordinance (Chapter 571 of the Laws of Hong Kong) (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our ADSs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Hong Kong) other than with respect to our ADSs which are or are intended to be disposed of only to persons outside Hong Kong or only to “professional investors” in Hong Kong as defined in the Securities and Futures Ordinance and any rules made thereunder.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Singapore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has not been registered as a prospectus with the Monetary Authority of Singapore. Accordingly, this prospectus and any other document or material in connection with the offer or sale, or invitation for subscription or purchase, of our ADSs may not be circulated or distributed, nor may our ADSs be offered or sold, or be made the subject of an invitation for subscription or purchase, whether directly or indirectly, to persons in Singapore other than (i) to an institutional investor (as defined in Section 4A of the Securities and Futures Act 2001 of Singapore, as modified or amended from time to time (the “SFA”)) pursuant to Section 274 of the SFA (ii) to a relevant person, or any person pursuant to Section 275(1A), and in accordance with the conditions, specified in Section 275 of the SFA, or (iii) otherwise pursuant to, and in accordance with the conditions of, any other applicable provision of the SFA. </w:t>
      </w:r>
    </w:p>
    <w:p>
      <w:pPr>
        <w:pStyle w:val="TextBody"/>
        <w:bidi w:val="0"/>
        <w:spacing w:before="240" w:after="0"/>
        <w:jc w:val="left"/>
        <w:rPr>
          <w:rFonts w:ascii="Times New Roman" w:hAnsi="Times New Roman"/>
          <w:sz w:val="20"/>
        </w:rPr>
      </w:pPr>
      <w:r>
        <w:rPr>
          <w:rFonts w:ascii="Times New Roman" w:hAnsi="Times New Roman"/>
          <w:sz w:val="20"/>
        </w:rPr>
        <w:t xml:space="preserve">Where our ADSs are subscribed or purchased under Section 275 of the SFA by a relevant person which is: (i) a corporation (which is not an accredited investor (as defined in Section 4A of the SFA)) the sole business of which is to hold investments and the entire share capital of which is owned by one or more individuals, each of whom is an accredited investor; or (ii) a trust (where the trustee is not an accredited investor) whose sole purpose is to hold investments and each beneficiary is an accredited investor, securities or securities-based derivatives contracts (each term as defined in Section 2(1) of the SFA) of that corporation or the beneficiaries’ rights and interest in that trust shall not be transferable for six months after that corporation or that trust has acquired our ADSs under Section 275 of the SFA except: (i) to an institutional investor or to a relevant person, or to any person arising from an offer referred to in Section 275(1A) or Section 276(4)(i)(B) of the SFA; (ii) where no consideration is or will be given for the transfer; (iii) by operation of law, (iv) as specified in Section 276(7) of the SFA; or (v) as specified in Regulation 37A of the Securities and Futures (Offers of Investments) (Securities and Securities-based Derivatives Contracts) Regulations 2018. </w:t>
      </w:r>
    </w:p>
    <w:p>
      <w:pPr>
        <w:pStyle w:val="TextBody"/>
        <w:bidi w:val="0"/>
        <w:spacing w:before="240" w:after="0"/>
        <w:jc w:val="left"/>
        <w:rPr>
          <w:rFonts w:ascii="Times New Roman" w:hAnsi="Times New Roman"/>
          <w:sz w:val="20"/>
        </w:rPr>
      </w:pPr>
      <w:r>
        <w:rPr>
          <w:rFonts w:ascii="Times New Roman" w:hAnsi="Times New Roman"/>
          <w:sz w:val="20"/>
        </w:rPr>
        <w:t xml:space="preserve">Singapore SFA Product Classification—In connection with Section 309B of the SFA and the CMP Regulations 2018, unless otherwise specified before an offer of ADSs, we have determined, and hereby notify all relevant persons (as defined in Section 309A(1) of the SFA), that the ADSs are “prescribed capital markets products” (as defined in the CMP Regulations 2018) and Excluded Investment Products (as defined in MAS Notice SFA 04-N12: Notice on the Sale of Investment Products and MAS Notice FAA-N16: Notice on Recommendations on Investment Products).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Dubai International Financial Center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relates to an Exempt Offer in accordance with the Markets Rules 2012 of the Dubai Financial Services Authority (“DFSA”). This prospectus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ADSs offered should conduct their own due diligence on the ADSs. If you do not understand the contents of this prospectus you should consult an authorized financial advisor. </w:t>
      </w:r>
    </w:p>
    <w:p>
      <w:pPr>
        <w:pStyle w:val="TextBody"/>
        <w:bidi w:val="0"/>
        <w:spacing w:before="360" w:after="0"/>
        <w:jc w:val="left"/>
        <w:rPr>
          <w:rFonts w:ascii="Times New Roman" w:hAnsi="Times New Roman"/>
          <w:b/>
          <w:i/>
          <w:sz w:val="20"/>
        </w:rPr>
      </w:pPr>
      <w:r>
        <w:rPr>
          <w:rFonts w:ascii="Times New Roman" w:hAnsi="Times New Roman"/>
          <w:b/>
          <w:i/>
          <w:sz w:val="20"/>
        </w:rPr>
        <w:t xml:space="preserve">United Arab Emirates </w:t>
      </w:r>
    </w:p>
    <w:p>
      <w:pPr>
        <w:pStyle w:val="TextBody"/>
        <w:bidi w:val="0"/>
        <w:spacing w:before="120" w:after="0"/>
        <w:jc w:val="left"/>
        <w:rPr>
          <w:rFonts w:ascii="Times New Roman" w:hAnsi="Times New Roman"/>
          <w:sz w:val="20"/>
        </w:rPr>
      </w:pPr>
      <w:r>
        <w:rPr>
          <w:rFonts w:ascii="Times New Roman" w:hAnsi="Times New Roman"/>
          <w:sz w:val="20"/>
        </w:rPr>
        <w:t xml:space="preserve">The ADSs have not been, and are not being, publicly offered, sold, promoted or advertised in the United Arab Emirates (including the Abu Dhabi Global Market and the Dubai International Financial Centre) other than in compliance with the laws of the United Arab Emirates (and the Abu Dhabi Global Market and the Dubai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International Financial Centre) governing the issue, offering and sale of securities. Further, this prospectus supplement does not constitute a public offer of ADSs in the United Arab Emirates (including the Abu Dhabi Global Market and the Dubai International Financial Centre) and is not intended to be a public offer. This prospectus supplement has not been approved by or filed with the Central Bank of the United Arab Emirates, the Securities and Commodities Authority, Financial Services Regulatory Authority, the Dubai Financial Services Authority, or any other relevant licensing authority in the United Arab Emirates.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Australia </w:t>
      </w:r>
    </w:p>
    <w:p>
      <w:pPr>
        <w:pStyle w:val="TextBody"/>
        <w:bidi w:val="0"/>
        <w:spacing w:before="120" w:after="0"/>
        <w:jc w:val="left"/>
        <w:rPr>
          <w:rFonts w:ascii="Times New Roman" w:hAnsi="Times New Roman"/>
          <w:sz w:val="20"/>
        </w:rPr>
      </w:pPr>
      <w:r>
        <w:rPr>
          <w:rFonts w:ascii="Times New Roman" w:hAnsi="Times New Roman"/>
          <w:sz w:val="20"/>
        </w:rPr>
        <w:t xml:space="preserve">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 </w:t>
      </w:r>
    </w:p>
    <w:p>
      <w:pPr>
        <w:pStyle w:val="TextBody"/>
        <w:bidi w:val="0"/>
        <w:spacing w:before="240" w:after="0"/>
        <w:jc w:val="left"/>
        <w:rPr>
          <w:rFonts w:ascii="Times New Roman" w:hAnsi="Times New Roman"/>
          <w:sz w:val="20"/>
        </w:rPr>
      </w:pPr>
      <w:r>
        <w:rPr>
          <w:rFonts w:ascii="Times New Roman" w:hAnsi="Times New Roman"/>
          <w:sz w:val="20"/>
        </w:rPr>
        <w:t xml:space="preserve">Any offer in Australia of the ADSs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ADSs without disclosure to investors under Chapter 6D of the Corporations Act. </w:t>
      </w:r>
    </w:p>
    <w:p>
      <w:pPr>
        <w:pStyle w:val="TextBody"/>
        <w:bidi w:val="0"/>
        <w:spacing w:before="240" w:after="0"/>
        <w:jc w:val="left"/>
        <w:rPr>
          <w:rFonts w:ascii="Times New Roman" w:hAnsi="Times New Roman"/>
          <w:sz w:val="20"/>
        </w:rPr>
      </w:pPr>
      <w:r>
        <w:rPr>
          <w:rFonts w:ascii="Times New Roman" w:hAnsi="Times New Roman"/>
          <w:sz w:val="20"/>
        </w:rPr>
        <w:t xml:space="preserve">The ADSs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ADSs must observe such Australian on-sale restrictions.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Switzerland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does not constitute an offer to the public or a solicitation to purchase or invest in any ADSs. No ADSs have been offered or will be offered to the public in Switzerland, except that offers of ADSs may be made to the public in Switzerland at any time under the following exemptions under the Swiss Financial Services Act (the “FinSA”): </w:t>
      </w:r>
    </w:p>
    <w:p>
      <w:pPr>
        <w:pStyle w:val="TextBody"/>
        <w:bidi w:val="0"/>
        <w:spacing w:before="120" w:after="0"/>
        <w:jc w:val="left"/>
        <w:rPr>
          <w:rFonts w:ascii="Times New Roman" w:hAnsi="Times New Roman"/>
          <w:sz w:val="20"/>
        </w:rPr>
      </w:pPr>
      <w:r>
        <w:rPr>
          <w:rFonts w:ascii="Times New Roman" w:hAnsi="Times New Roman"/>
          <w:sz w:val="20"/>
        </w:rPr>
        <w:t xml:space="preserve">(a) to any person which is a professional client as defined under the FinSA; </w:t>
      </w:r>
    </w:p>
    <w:p>
      <w:pPr>
        <w:pStyle w:val="TextBody"/>
        <w:bidi w:val="0"/>
        <w:spacing w:before="240" w:after="0"/>
        <w:jc w:val="left"/>
        <w:rPr>
          <w:rFonts w:ascii="Times New Roman" w:hAnsi="Times New Roman"/>
          <w:sz w:val="20"/>
        </w:rPr>
      </w:pPr>
      <w:r>
        <w:rPr>
          <w:rFonts w:ascii="Times New Roman" w:hAnsi="Times New Roman"/>
          <w:sz w:val="20"/>
        </w:rPr>
        <w:t xml:space="preserve">(b) to fewer than 500 persons (other than professional clients as defined under the FinSA), subject to obtaining the prior consent of the representatives for any such offer; or </w:t>
      </w:r>
    </w:p>
    <w:p>
      <w:pPr>
        <w:pStyle w:val="TextBody"/>
        <w:bidi w:val="0"/>
        <w:spacing w:before="240" w:after="0"/>
        <w:jc w:val="left"/>
        <w:rPr>
          <w:rFonts w:ascii="Times New Roman" w:hAnsi="Times New Roman"/>
          <w:sz w:val="20"/>
        </w:rPr>
      </w:pPr>
      <w:r>
        <w:rPr>
          <w:rFonts w:ascii="Times New Roman" w:hAnsi="Times New Roman"/>
          <w:sz w:val="20"/>
        </w:rPr>
        <w:t xml:space="preserve">(c) in any other circumstances falling within Article 36 FinSA in connection with Article 44 of the Swiss Financial Services Ordinance,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no such offer of ADSs shall require us or any representative to publish a prospectus pursuant to Article 35 FinSA. </w:t>
      </w:r>
    </w:p>
    <w:p>
      <w:pPr>
        <w:pStyle w:val="TextBody"/>
        <w:bidi w:val="0"/>
        <w:spacing w:before="240" w:after="0"/>
        <w:jc w:val="left"/>
        <w:rPr>
          <w:rFonts w:ascii="Times New Roman" w:hAnsi="Times New Roman"/>
          <w:sz w:val="20"/>
        </w:rPr>
      </w:pPr>
      <w:r>
        <w:rPr>
          <w:rFonts w:ascii="Times New Roman" w:hAnsi="Times New Roman"/>
          <w:sz w:val="20"/>
        </w:rPr>
        <w:t xml:space="preserve">The ADSs have not been and will not be listed or admitted to trading on a trading venue in Switzerland. Neither this prospectus supplement nor any other offering or marketing material relating to the ADSs constitutes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 prospectus as such term is understood pursuant to the FinSA and neither this prospectus supplement nor any other offering or marketing material relating to the ADSs may be publicly distributed or otherwise made publicly available in Switzerland. Neither this prospectus supplement nor any other offering or marketing material relating to us, the offering, or the ADSs have been or will be filed with or approved by FINMA, and the offering of ADSs has not been and will not be authorized under the Swiss Federal Act on Collective Investment Schemes (“CISA”). The investor protection afforded to acquirers of interests in collective investment schemes under the CISA does not extend to acquirers of ADSs. </w:t>
      </w:r>
    </w:p>
    <w:p>
      <w:pPr>
        <w:pStyle w:val="TextBody"/>
        <w:bidi w:val="0"/>
        <w:spacing w:before="360" w:after="0"/>
        <w:jc w:val="left"/>
        <w:rPr>
          <w:rFonts w:ascii="Times New Roman" w:hAnsi="Times New Roman"/>
          <w:b/>
          <w:i/>
          <w:sz w:val="20"/>
        </w:rPr>
      </w:pPr>
      <w:r>
        <w:rPr>
          <w:rFonts w:ascii="Times New Roman" w:hAnsi="Times New Roman"/>
          <w:b/>
          <w:i/>
          <w:sz w:val="20"/>
        </w:rPr>
        <w:t xml:space="preserve">Japan </w:t>
      </w:r>
    </w:p>
    <w:p>
      <w:pPr>
        <w:pStyle w:val="TextBody"/>
        <w:bidi w:val="0"/>
        <w:spacing w:before="120" w:after="0"/>
        <w:jc w:val="left"/>
        <w:rPr>
          <w:rFonts w:ascii="Times New Roman" w:hAnsi="Times New Roman"/>
          <w:sz w:val="20"/>
        </w:rPr>
      </w:pPr>
      <w:r>
        <w:rPr>
          <w:rFonts w:ascii="Times New Roman" w:hAnsi="Times New Roman"/>
          <w:sz w:val="20"/>
        </w:rPr>
        <w:t xml:space="preserve">No registration pursuant to Article 4, paragraph 1 of the Financial Instruments and Exchange Law of Japan (Law No. 25 of 1948, as amended) (the “FIEL”) has been made or will be made with respect to the solicitation of the application for the acquisition of the ADSs. </w:t>
      </w:r>
    </w:p>
    <w:p>
      <w:pPr>
        <w:pStyle w:val="TextBody"/>
        <w:bidi w:val="0"/>
        <w:spacing w:before="240" w:after="0"/>
        <w:jc w:val="left"/>
        <w:rPr>
          <w:rFonts w:ascii="Times New Roman" w:hAnsi="Times New Roman"/>
          <w:sz w:val="20"/>
        </w:rPr>
      </w:pPr>
      <w:r>
        <w:rPr>
          <w:rFonts w:ascii="Times New Roman" w:hAnsi="Times New Roman"/>
          <w:sz w:val="20"/>
        </w:rPr>
        <w:t xml:space="preserve">Accordingly, the ADSs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 </w:t>
      </w:r>
    </w:p>
    <w:p>
      <w:pPr>
        <w:pStyle w:val="TextBody"/>
        <w:bidi w:val="0"/>
        <w:spacing w:before="360" w:after="0"/>
        <w:jc w:val="left"/>
        <w:rPr>
          <w:rFonts w:ascii="Times New Roman" w:hAnsi="Times New Roman"/>
          <w:i/>
          <w:sz w:val="20"/>
        </w:rPr>
      </w:pPr>
      <w:r>
        <w:rPr>
          <w:rFonts w:ascii="Times New Roman" w:hAnsi="Times New Roman"/>
          <w:i/>
          <w:sz w:val="20"/>
        </w:rPr>
        <w:t xml:space="preserve">For Qualified Institutional Investors (“QII”) </w:t>
      </w:r>
    </w:p>
    <w:p>
      <w:pPr>
        <w:pStyle w:val="TextBody"/>
        <w:bidi w:val="0"/>
        <w:spacing w:before="120" w:after="0"/>
        <w:jc w:val="left"/>
        <w:rPr>
          <w:rFonts w:ascii="Times New Roman" w:hAnsi="Times New Roman"/>
          <w:sz w:val="20"/>
        </w:rPr>
      </w:pPr>
      <w:r>
        <w:rPr>
          <w:rFonts w:ascii="Times New Roman" w:hAnsi="Times New Roman"/>
          <w:sz w:val="20"/>
        </w:rPr>
        <w:t xml:space="preserve">Please note that the solicitation for newly-issued or secondary securities (each as described in Paragraph 2, Article 4 of the FIEL) in relation to the ADSs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ADSs. The ADSs may only be transferred to QIIs. </w:t>
      </w:r>
    </w:p>
    <w:p>
      <w:pPr>
        <w:pStyle w:val="TextBody"/>
        <w:bidi w:val="0"/>
        <w:spacing w:before="360" w:after="0"/>
        <w:jc w:val="left"/>
        <w:rPr>
          <w:rFonts w:ascii="Times New Roman" w:hAnsi="Times New Roman"/>
          <w:i/>
          <w:sz w:val="20"/>
        </w:rPr>
      </w:pPr>
      <w:r>
        <w:rPr>
          <w:rFonts w:ascii="Times New Roman" w:hAnsi="Times New Roman"/>
          <w:i/>
          <w:sz w:val="20"/>
        </w:rPr>
        <w:t xml:space="preserve">For Non-QII Investors </w:t>
      </w:r>
    </w:p>
    <w:p>
      <w:pPr>
        <w:pStyle w:val="TextBody"/>
        <w:bidi w:val="0"/>
        <w:spacing w:before="120" w:after="0"/>
        <w:jc w:val="left"/>
        <w:rPr>
          <w:rFonts w:ascii="Times New Roman" w:hAnsi="Times New Roman"/>
          <w:sz w:val="20"/>
        </w:rPr>
      </w:pPr>
      <w:r>
        <w:rPr>
          <w:rFonts w:ascii="Times New Roman" w:hAnsi="Times New Roman"/>
          <w:sz w:val="20"/>
        </w:rPr>
        <w:t xml:space="preserve">Please note that the solicitation for newly-issued or secondary securities (each as described in Paragraph 2, Article 4 of the FIEL) in relation to the ADSs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ADSs. The ADSs may only be transferred en bloc without subdivision to a single investor. </w:t>
      </w:r>
    </w:p>
    <w:p>
      <w:pPr>
        <w:pStyle w:val="TextBody"/>
        <w:bidi w:val="0"/>
        <w:spacing w:before="360" w:after="0"/>
        <w:jc w:val="left"/>
        <w:rPr>
          <w:rFonts w:ascii="Times New Roman" w:hAnsi="Times New Roman"/>
          <w:b/>
          <w:i/>
          <w:sz w:val="20"/>
        </w:rPr>
      </w:pPr>
      <w:r>
        <w:rPr>
          <w:rFonts w:ascii="Times New Roman" w:hAnsi="Times New Roman"/>
          <w:b/>
          <w:i/>
          <w:sz w:val="20"/>
        </w:rPr>
        <w:t xml:space="preserve">Cayman Islands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is not intended to constitute a public offer of the ADSs or ordinary shares, whether by way of sale or subscription, in the Cayman Islands. No offer or invitation may be made to the public in the Cayman Islands to subscribe for or purchase the ADSs or ordinary shares. Each underwriter has represented and agreed that it has not offered or sold, and will not offer or sell, directly or indirectly, any ADSs or ordinary shares in the Cayman Islands. </w:t>
      </w:r>
    </w:p>
    <w:p>
      <w:pPr>
        <w:pStyle w:val="TextBody"/>
        <w:bidi w:val="0"/>
        <w:spacing w:before="360" w:after="0"/>
        <w:jc w:val="left"/>
        <w:rPr>
          <w:rFonts w:ascii="Times New Roman" w:hAnsi="Times New Roman"/>
          <w:b/>
          <w:i/>
          <w:sz w:val="20"/>
        </w:rPr>
      </w:pPr>
      <w:r>
        <w:rPr>
          <w:rFonts w:ascii="Times New Roman" w:hAnsi="Times New Roman"/>
          <w:b/>
          <w:i/>
          <w:sz w:val="20"/>
        </w:rPr>
        <w:t xml:space="preserve">Indonesia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does not, and is not intended to, constitute a public offering in Indonesia under Law Number 8 of 1995 regarding Capital Market. This prospectus may not be distributed in the Republic of Indonesia and the ADSs may not be offered or sold in the Republic of Indonesia or to Indonesian citizens wherever they are domiciled, or to Indonesia residents, in a manner which constitutes a public offering under the laws of the Republic of Indonesia.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Israel </w:t>
      </w:r>
    </w:p>
    <w:p>
      <w:pPr>
        <w:pStyle w:val="TextBody"/>
        <w:bidi w:val="0"/>
        <w:spacing w:before="120" w:after="0"/>
        <w:jc w:val="left"/>
        <w:rPr>
          <w:rFonts w:ascii="Times New Roman" w:hAnsi="Times New Roman"/>
          <w:sz w:val="20"/>
        </w:rPr>
      </w:pPr>
      <w:r>
        <w:rPr>
          <w:rFonts w:ascii="Times New Roman" w:hAnsi="Times New Roman"/>
          <w:sz w:val="20"/>
        </w:rPr>
        <w:t xml:space="preserve">In the State of Israel, the ADSs offered hereby may not be offered to any person or entity other than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fund for joint investments in trust (i.e., mutual fund), as such term is defined in the Law for Joint Investments in Trust, 5754-1994, or a management company of such a fund;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provident fund as defined in Section 47(a)(2) of the Income Tax Ordinance of the State of Israel, or a management company of such a fund;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insurer, as defined in the Law for Oversight of Insurance Transactions, 5741-1981, a banking entity or satellite entity, as such terms are defined in the Banking Law (Licensing), 5741-1981, other than a joint services company, acting for their own account or for the account of investors of the type listed in Section 15A(b) of the Securities Law 1968;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company that is licensed as a portfolio manager, as such term is defined in Section 8(b) of the Law for the Regulation of Investment Advisors and Portfolio Managers, 5755-1995, acting on its own account or for the account of investors of the type listed in Section 15A(b) of the Securities Law 1968;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company that is licensed as an investment advisor, as such term is defined in Section 7(c) of the Law for the Regulation of Investment Advisors and Portfolio Managers, 5755-1995, acting on its own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company that is a member of the Tel Aviv Stock Exchange, acting on its own account or for the account of investors of the type listed in Section 15A(b) of the Securities Law 1968;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underwriter fulfilling the conditions of Section 56(c) of the Securities Law, 5728-1968;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venture capital fund (defined as an entity primarily involved in investments in companies which, at the time of investment, (i) are primarily engaged in research and development or manufacture of new technological products or processes and (ii) involve above-average risk);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entity primarily engaged in capital markets activities in which all of the equity owners meet one or more of the above criteria;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entity, other than an entity formed for the purpose of purchasing the ADSs in this offering, in which shareholders’ equity (including pursuant to foreign accounting rules, international accounting regulations and U.S. generally accepted accounting rules, as defined in the Securities Law Regulations (Preparation of Annual Financial Statements), 1993) is in excess of NIS 250 million.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offeree of the ADSs offered hereby in the State of Israel shall be required to submit written confirmation that it falls within the scope of one of the above criteria. This prospectus will not be distributed or directed to investors in the State of Israel who do not fall within one of the above criteria.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Korea </w:t>
      </w:r>
    </w:p>
    <w:p>
      <w:pPr>
        <w:pStyle w:val="TextBody"/>
        <w:bidi w:val="0"/>
        <w:spacing w:before="120" w:after="0"/>
        <w:jc w:val="left"/>
        <w:rPr>
          <w:rFonts w:ascii="Times New Roman" w:hAnsi="Times New Roman"/>
          <w:sz w:val="20"/>
        </w:rPr>
      </w:pPr>
      <w:r>
        <w:rPr>
          <w:rFonts w:ascii="Times New Roman" w:hAnsi="Times New Roman"/>
          <w:sz w:val="20"/>
        </w:rPr>
        <w:t xml:space="preserve">The ADSs may not be offered, sold and delivered directly or indirectly, or offered or sold to any person for reoffering or resale, directly or indirectly, in Korea or to any resident of Korea except pursuant to the applicable laws and regulations of Korea, including the Korea Securities and Exchange Act and the Foreign Exchange Transaction Law and the decrees and regulations thereunder. The ADSs have not been registered with the Financial Services Commission of Korea for public offering in Korea. Furthermore, the ADSs may not be resold to Korean residents unless the purchaser of the ADSs complies with all applicable regulatory requirements (including but not limited to government approval requirements under the Foreign Exchange Transaction Law and its subordinate decrees and regulations) in connection with the purchase of the ADSs. </w:t>
      </w:r>
    </w:p>
    <w:p>
      <w:pPr>
        <w:pStyle w:val="TextBody"/>
        <w:bidi w:val="0"/>
        <w:spacing w:before="360" w:after="0"/>
        <w:jc w:val="left"/>
        <w:rPr>
          <w:rFonts w:ascii="Times New Roman" w:hAnsi="Times New Roman"/>
          <w:b/>
          <w:i/>
          <w:sz w:val="20"/>
        </w:rPr>
      </w:pPr>
      <w:r>
        <w:rPr>
          <w:rFonts w:ascii="Times New Roman" w:hAnsi="Times New Roman"/>
          <w:b/>
          <w:i/>
          <w:sz w:val="20"/>
        </w:rPr>
        <w:t xml:space="preserve">Kuwait </w:t>
      </w:r>
    </w:p>
    <w:p>
      <w:pPr>
        <w:pStyle w:val="TextBody"/>
        <w:bidi w:val="0"/>
        <w:spacing w:before="120" w:after="0"/>
        <w:jc w:val="left"/>
        <w:rPr>
          <w:rFonts w:ascii="Times New Roman" w:hAnsi="Times New Roman"/>
          <w:sz w:val="20"/>
        </w:rPr>
      </w:pPr>
      <w:r>
        <w:rPr>
          <w:rFonts w:ascii="Times New Roman" w:hAnsi="Times New Roman"/>
          <w:sz w:val="20"/>
        </w:rPr>
        <w:t xml:space="preserve">Unless all necessary approvals from the Kuwait Ministry of Commerce and Industry required by Law No. 31/1990 ‘‘Regulating the Negotiation of Securities and Establishment of Investment Funds,’’ its Executive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Regulations and the various Ministerial Orders issued pursuant thereto or in connection therewith, have been given in relation to the marketing and sale of the ADSs, these may not be marketed, offered for sale, nor sold in the State of Kuwait. Neither this prospectus (including any related document), nor any of the information contained therein is intended to lead to the conclusion of any contract of whatsoever nature within Kuwait. </w:t>
      </w:r>
    </w:p>
    <w:p>
      <w:pPr>
        <w:pStyle w:val="TextBody"/>
        <w:bidi w:val="0"/>
        <w:spacing w:before="360" w:after="0"/>
        <w:jc w:val="left"/>
        <w:rPr>
          <w:rFonts w:ascii="Times New Roman" w:hAnsi="Times New Roman"/>
          <w:b/>
          <w:i/>
          <w:sz w:val="20"/>
        </w:rPr>
      </w:pPr>
      <w:r>
        <w:rPr>
          <w:rFonts w:ascii="Times New Roman" w:hAnsi="Times New Roman"/>
          <w:b/>
          <w:i/>
          <w:sz w:val="20"/>
        </w:rPr>
        <w:t xml:space="preserve">Malaysia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has not been and will not be registered as a prospectus with the Securities Commission Malaysia (“SC”) under the Capital Markets and Services Act 2007 of Malaysia (“CMSA”). No prospectus or other offering material or document in connection with the offer and sale of the ADSs which complies with the requirements of the CMSA and the guidelines of the SC has been or will be registered with the SC under the CMSA or with any other regulatory body in Malaysia. Also, no approval, authorisation or recognition of the SC has been granted for making available, offering for subscription or purchase, or issuing an invitation to subscribe for or purchase or sale, of the ADSs in Malaysia. This prospectus does not constitute and may not be used for the purpose of an offering or an issue, offer for subscription or purchase, invitation to subscribe for or purchase of sale of any securities requiring (a) the approval, authorisation or recognition of the SC and (b) the registration of a prospectus with the SC under the CMSA. </w:t>
      </w:r>
    </w:p>
    <w:p>
      <w:pPr>
        <w:pStyle w:val="TextBody"/>
        <w:bidi w:val="0"/>
        <w:spacing w:before="240" w:after="0"/>
        <w:jc w:val="left"/>
        <w:rPr>
          <w:rFonts w:ascii="Times New Roman" w:hAnsi="Times New Roman"/>
          <w:sz w:val="20"/>
        </w:rPr>
      </w:pPr>
      <w:r>
        <w:rPr>
          <w:rFonts w:ascii="Times New Roman" w:hAnsi="Times New Roman"/>
          <w:sz w:val="20"/>
        </w:rPr>
        <w:t xml:space="preserve">Accordingly, this prospectus and any other document or material in connection with the ADSs will not be circulated or distributed, nor will the ADSs be offered or sold, or be made the subject of an invitation for subscription or purchase, whether directly or indirectly, to persons in Malaysia other than the categories of persons specified in paragraph 14 of Schedule 5 of the CMSA and this is also provided that the distribution of the ADSs to such categories of exempted persons is made by a holder of a Capital Markets Services Licence in Malaysia who carries on the business of dealing in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People’s Republic of China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may not be circulated or distributed in the PRC and the ADSs may not be offered or sold, and will not be offered or sold to any person for re-offering or resale directly or indirectly to any resident of the PRC except pursuant to applicable laws and regulations of the PRC. This paragraph does not apply to Taiwan and the special administrative regions of Hong Kong and Macau. </w:t>
      </w:r>
    </w:p>
    <w:p>
      <w:pPr>
        <w:pStyle w:val="TextBody"/>
        <w:bidi w:val="0"/>
        <w:spacing w:before="360" w:after="0"/>
        <w:jc w:val="left"/>
        <w:rPr>
          <w:rFonts w:ascii="Times New Roman" w:hAnsi="Times New Roman"/>
          <w:b/>
          <w:i/>
          <w:sz w:val="20"/>
        </w:rPr>
      </w:pPr>
      <w:r>
        <w:rPr>
          <w:rFonts w:ascii="Times New Roman" w:hAnsi="Times New Roman"/>
          <w:b/>
          <w:i/>
          <w:sz w:val="20"/>
        </w:rPr>
        <w:t xml:space="preserve">Philippines </w:t>
      </w:r>
    </w:p>
    <w:p>
      <w:pPr>
        <w:pStyle w:val="TextBody"/>
        <w:bidi w:val="0"/>
        <w:spacing w:before="120" w:after="0"/>
        <w:jc w:val="left"/>
        <w:rPr>
          <w:rFonts w:ascii="Times New Roman" w:hAnsi="Times New Roman"/>
          <w:b/>
          <w:sz w:val="20"/>
        </w:rPr>
      </w:pPr>
      <w:r>
        <w:rPr>
          <w:rFonts w:ascii="Times New Roman" w:hAnsi="Times New Roman"/>
          <w:b/>
          <w:sz w:val="20"/>
        </w:rPr>
        <w:t xml:space="preserve">THE ADSS BEING OFFERED OR SOLD HAVE NOT BEEN AND WILL NOT BE REGISTERED WITH THE PHILIPPINE SECURITIES AND EXCHANGE COMMISSION UNDER THE SECURITIES REGULATION CODE OF THE PHILIPPINES (THE “SRC”). ANY FUTURE OFFER OR SALE OF THE ADSS WITHIN THE PHILIPPINES IS SUBJECT TO THE REGISTRATION REQUIREMENTS UNDER THE SRC UNLESS SUCH OFFER OR SALE QUALIFIES AS A TRANSACTION EXEMPT FROM THE REGISTRATION UNDER THE SRC. </w:t>
      </w:r>
    </w:p>
    <w:p>
      <w:pPr>
        <w:pStyle w:val="TextBody"/>
        <w:bidi w:val="0"/>
        <w:spacing w:before="240" w:after="0"/>
        <w:jc w:val="left"/>
        <w:rPr>
          <w:rFonts w:ascii="Times New Roman" w:hAnsi="Times New Roman"/>
          <w:sz w:val="20"/>
        </w:rPr>
      </w:pPr>
      <w:r>
        <w:rPr>
          <w:rFonts w:ascii="Times New Roman" w:hAnsi="Times New Roman"/>
          <w:sz w:val="20"/>
        </w:rPr>
        <w:t xml:space="preserve">Accordingly, this prospectus, and any other document or material in connection with the offer or sale, or invitation for subscription or purchase of the ADSs, may not be circulated or distributed in the Philippines, and the ADSs may not be offered or sold, or be made the subject of an invitation for subscription or purchase, to persons in the Philippines, other than (i) to qualified investors in transactions that are exempt from the registration requirements of the SRC; and (ii) by persons licensed to make such offers or sales in the Philippines. </w:t>
      </w:r>
    </w:p>
    <w:p>
      <w:pPr>
        <w:pStyle w:val="TextBody"/>
        <w:bidi w:val="0"/>
        <w:spacing w:before="360" w:after="0"/>
        <w:jc w:val="left"/>
        <w:rPr>
          <w:rFonts w:ascii="Times New Roman" w:hAnsi="Times New Roman"/>
          <w:b/>
          <w:i/>
          <w:sz w:val="20"/>
        </w:rPr>
      </w:pPr>
      <w:r>
        <w:rPr>
          <w:rFonts w:ascii="Times New Roman" w:hAnsi="Times New Roman"/>
          <w:b/>
          <w:i/>
          <w:sz w:val="20"/>
        </w:rPr>
        <w:t xml:space="preserve">Qatar </w:t>
      </w:r>
    </w:p>
    <w:p>
      <w:pPr>
        <w:pStyle w:val="TextBody"/>
        <w:bidi w:val="0"/>
        <w:spacing w:before="120" w:after="0"/>
        <w:jc w:val="left"/>
        <w:rPr>
          <w:rFonts w:ascii="Times New Roman" w:hAnsi="Times New Roman"/>
          <w:sz w:val="20"/>
        </w:rPr>
      </w:pPr>
      <w:r>
        <w:rPr>
          <w:rFonts w:ascii="Times New Roman" w:hAnsi="Times New Roman"/>
          <w:sz w:val="20"/>
        </w:rPr>
        <w:t xml:space="preserve">In the State of Qatar, the offer contained in this prospectus supplement is made on an exclusive basis to the specifically intended recipient thereof, upon that person’s request and initiative, for personal use only and shall in no way be construed as a general offer for the sale of ADSs to the public or an attempt to do business as a bank,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 investment company or otherwise in the State of Qatar. This prospectus and the underlying securities have not been approved or licensed by the Qatar Central Bank or the Qatar Financial Center Regulatory Authority or any other regulator in the State of Qatar. The information contained in this prospectus shall only be shared with any third parties in the State of Qatar on a need to know basis for the purpose of evaluating the offering. Any distribution of this prospectus by the recipient to third parties in the State of Qatar beyond the terms hereof is not permitted and shall be at the liability of such recipient.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Saudi Arabia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may not be distributed in the Kingdom of Saudi Arabia except to such persons as are permitted under the Rules on the Offer of Securities and Continuing Obligations Regulations as issued by the board of the Saudi Arabian Capital Market Authority (the “CMA”) pursuant to resolution number 3-123-2017 dated 27 December 2017, as amended. The CMA does not make any representation as to the accuracy or completeness of this prospectus supplement, and expressly disclaims any liability whatsoever for any loss arising from, or incurred in reliance upon, any part of this prospectus supplement. Prospective purchasers of the ADSs offered hereby should conduct their own due diligence on the accuracy of the information relating to the ADSs. If you do not understand the contents of this prospectus you should consult an authorized financial adviser. </w:t>
      </w:r>
    </w:p>
    <w:p>
      <w:pPr>
        <w:pStyle w:val="TextBody"/>
        <w:bidi w:val="0"/>
        <w:spacing w:before="360" w:after="0"/>
        <w:jc w:val="left"/>
        <w:rPr>
          <w:rFonts w:ascii="Times New Roman" w:hAnsi="Times New Roman"/>
          <w:b/>
          <w:i/>
          <w:sz w:val="20"/>
        </w:rPr>
      </w:pPr>
      <w:r>
        <w:rPr>
          <w:rFonts w:ascii="Times New Roman" w:hAnsi="Times New Roman"/>
          <w:b/>
          <w:i/>
          <w:sz w:val="20"/>
        </w:rPr>
        <w:t xml:space="preserve">Taiwan </w:t>
      </w:r>
    </w:p>
    <w:p>
      <w:pPr>
        <w:pStyle w:val="TextBody"/>
        <w:bidi w:val="0"/>
        <w:spacing w:before="120" w:after="0"/>
        <w:jc w:val="left"/>
        <w:rPr>
          <w:rFonts w:ascii="Times New Roman" w:hAnsi="Times New Roman"/>
          <w:sz w:val="20"/>
        </w:rPr>
      </w:pPr>
      <w:r>
        <w:rPr>
          <w:rFonts w:ascii="Times New Roman" w:hAnsi="Times New Roman"/>
          <w:sz w:val="20"/>
        </w:rPr>
        <w:t xml:space="preserve">The ADSs have not been and will not be registered or filed with, or approved by, the Financial Supervisory Commission of Taiwan pursuant to relevant securities laws and regulations and may not be offered or sold in Taiwan through a public offering or in circumstances which constitute an offer within the meaning of the Securities and Exchange Act of Taiwan or relevant laws and regulations that require a registration, filing or approval of the Financial Supervisory Commission of Taiwan. No person or entity in Taiwan has been authorized to offer or sell the ADSs in Taiwan through a public offering or in such an offering that require registration, filing or approval of the Financial Supervisory Commission of Taiwan except pursuant to the applicable laws and regulations of Taiwan and the competent authority’s rulings thereunder.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Thailand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does not, and is not intended to, constitute a public offering in Thailand. The ADSs may not be offered or sold to persons in Thailand, unless such offering is made under the exemptions from approval and filing requirements under applicable laws, or under circumstances which do not constitute an offer for sale of the shares to the public for the purposes of the Securities and Exchange Act of 1992 of Thailand, nor require approval from the Office of the Securities and Exchange Commission of Thailand. </w:t>
      </w:r>
    </w:p>
    <w:p>
      <w:pPr>
        <w:pStyle w:val="TextBody"/>
        <w:bidi w:val="0"/>
        <w:spacing w:before="360" w:after="0"/>
        <w:jc w:val="left"/>
        <w:rPr>
          <w:rFonts w:ascii="Times New Roman" w:hAnsi="Times New Roman"/>
          <w:b/>
          <w:i/>
          <w:sz w:val="20"/>
        </w:rPr>
      </w:pPr>
      <w:r>
        <w:rPr>
          <w:rFonts w:ascii="Times New Roman" w:hAnsi="Times New Roman"/>
          <w:b/>
          <w:i/>
          <w:sz w:val="20"/>
        </w:rPr>
        <w:t xml:space="preserve">Vietnam </w:t>
      </w:r>
    </w:p>
    <w:p>
      <w:pPr>
        <w:pStyle w:val="TextBody"/>
        <w:bidi w:val="0"/>
        <w:spacing w:before="120" w:after="0"/>
        <w:jc w:val="left"/>
        <w:rPr>
          <w:rFonts w:ascii="Times New Roman" w:hAnsi="Times New Roman"/>
          <w:sz w:val="20"/>
        </w:rPr>
      </w:pPr>
      <w:r>
        <w:rPr>
          <w:rFonts w:ascii="Times New Roman" w:hAnsi="Times New Roman"/>
          <w:sz w:val="20"/>
        </w:rPr>
        <w:t xml:space="preserve">This offering of ADSs has not been and will not be registered with the State Securities Commission of Vietnam under the Law on Securities of Vietnam and its guiding decrees and circulars. The ADSs will not be offered or sold in Vietnam through a public offering and will not be offered or sold to Vietnamese persons other than those who are licensed to invest in offshore securities under the Law on Investment of Vietnam.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s150521_10"/>
      <w:bookmarkEnd w:id="12"/>
      <w:r>
        <w:rPr>
          <w:rFonts w:ascii="Times New Roman" w:hAnsi="Times New Roman"/>
          <w:b/>
          <w:sz w:val="20"/>
        </w:rPr>
        <w:t xml:space="preserve">MATERIAL INCOME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general summary of certain Cayman Islands, People’s Republic of China and United States federal income tax consequences relevant to an investment in our ADSs and ordinary shares. To the extent that the discussion below relates to matters of Cayman Islands tax law, it is the opinion of Maples and Calder (Hong Kong) LLP, our Cayman Islands counsel. To the extent that the discussion below relates to matters of the People’s Republic of China’s tax law, it is the opinion of JunHe LLP, our People’s Republic of China counsel. To the extent that the discussion below relates to matters of United States federal income tax law, it is the opinion of Cooley LLP, our United States counsel. The discussion is not intended to be, nor should it be construed as, legal or tax advice to any particular prospective purchaser. The discussion is based on laws and relevant interpretations thereof in effect as of the date of this prospectus supplement, all of which are subject to change or different interpretations, possibly with retroactive effect. The discussion does not address U.S. state or local tax laws, or tax laws of jurisdictions other than the Cayman Islands, the People’s Republic of China and the United States. You should consult your tax advisors with respect to the consequences of acquisition, ownership and disposition of our ADSs and ordinary shares. </w:t>
      </w:r>
    </w:p>
    <w:p>
      <w:pPr>
        <w:pStyle w:val="TextBody"/>
        <w:bidi w:val="0"/>
        <w:spacing w:before="360" w:after="0"/>
        <w:jc w:val="left"/>
        <w:rPr>
          <w:rFonts w:ascii="Times New Roman" w:hAnsi="Times New Roman"/>
          <w:b/>
          <w:sz w:val="20"/>
        </w:rPr>
      </w:pPr>
      <w:r>
        <w:rPr>
          <w:rFonts w:ascii="Times New Roman" w:hAnsi="Times New Roman"/>
          <w:b/>
          <w:sz w:val="20"/>
        </w:rPr>
        <w:t xml:space="preserve">Cayman Islands Taxation </w:t>
      </w:r>
    </w:p>
    <w:p>
      <w:pPr>
        <w:pStyle w:val="TextBody"/>
        <w:bidi w:val="0"/>
        <w:spacing w:before="120" w:after="0"/>
        <w:jc w:val="left"/>
        <w:rPr>
          <w:rFonts w:ascii="Times New Roman" w:hAnsi="Times New Roman"/>
          <w:sz w:val="20"/>
        </w:rPr>
      </w:pPr>
      <w:r>
        <w:rPr>
          <w:rFonts w:ascii="Times New Roman" w:hAnsi="Times New Roman"/>
          <w:sz w:val="20"/>
        </w:rPr>
        <w:t xml:space="preserve">The Cayman Islands currently levies no taxes on individuals or corporations based upon profits, income, gains or appreciation and there is no taxation in the nature of inheritance tax or estate duty. </w:t>
      </w:r>
    </w:p>
    <w:p>
      <w:pPr>
        <w:pStyle w:val="TextBody"/>
        <w:bidi w:val="0"/>
        <w:spacing w:before="240" w:after="0"/>
        <w:jc w:val="left"/>
        <w:rPr>
          <w:rFonts w:ascii="Times New Roman" w:hAnsi="Times New Roman"/>
          <w:sz w:val="20"/>
        </w:rPr>
      </w:pPr>
      <w:r>
        <w:rPr>
          <w:rFonts w:ascii="Times New Roman" w:hAnsi="Times New Roman"/>
          <w:sz w:val="20"/>
        </w:rPr>
        <w:t xml:space="preserve">No other taxes are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which are applicable to any payments made to or by our company. There are no exchange control regulations or currency restrictions in the Cayman Islands. </w:t>
      </w:r>
    </w:p>
    <w:p>
      <w:pPr>
        <w:pStyle w:val="TextBody"/>
        <w:bidi w:val="0"/>
        <w:spacing w:before="240" w:after="0"/>
        <w:jc w:val="left"/>
        <w:rPr>
          <w:rFonts w:ascii="Times New Roman" w:hAnsi="Times New Roman"/>
          <w:sz w:val="20"/>
        </w:rPr>
      </w:pPr>
      <w:r>
        <w:rPr>
          <w:rFonts w:ascii="Times New Roman" w:hAnsi="Times New Roman"/>
          <w:sz w:val="20"/>
        </w:rPr>
        <w:t xml:space="preserve">Payments of dividends and capital in respect of our ordinary shares and ADSs will not be subject to taxation in the Cayman Islands and no withholding will be required on the payment of dividends or capital to any holder of our ordinary shares or ADSs, nor will gains derived from the disposal of our ordinary shares or ADSs be subject to Cayman Islands income or corporation tax. </w:t>
      </w:r>
    </w:p>
    <w:p>
      <w:pPr>
        <w:pStyle w:val="TextBody"/>
        <w:bidi w:val="0"/>
        <w:spacing w:before="240" w:after="0"/>
        <w:jc w:val="left"/>
        <w:rPr>
          <w:rFonts w:ascii="Times New Roman" w:hAnsi="Times New Roman"/>
          <w:sz w:val="20"/>
        </w:rPr>
      </w:pPr>
      <w:r>
        <w:rPr>
          <w:rFonts w:ascii="Times New Roman" w:hAnsi="Times New Roman"/>
          <w:sz w:val="20"/>
        </w:rPr>
        <w:t xml:space="preserve">No stamp duty is payable in respect of the issue of our ordinary shares or on an instrument of transfer in respect of our ordinary shares. </w:t>
      </w:r>
    </w:p>
    <w:p>
      <w:pPr>
        <w:pStyle w:val="TextBody"/>
        <w:bidi w:val="0"/>
        <w:spacing w:before="360" w:after="0"/>
        <w:jc w:val="left"/>
        <w:rPr>
          <w:rFonts w:ascii="Times New Roman" w:hAnsi="Times New Roman"/>
          <w:b/>
          <w:sz w:val="20"/>
        </w:rPr>
      </w:pPr>
      <w:r>
        <w:rPr>
          <w:rFonts w:ascii="Times New Roman" w:hAnsi="Times New Roman"/>
          <w:b/>
          <w:sz w:val="20"/>
        </w:rPr>
        <w:t xml:space="preserve">Material U.S. Federal Income Tax Consequences to U.S. Holders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describes the material U.S. federal income tax consequences relating to the ownership and disposition of our ADSs by U.S. Holders (as defined below). This discussion applies to U.S. Holders that purchase ADSs pursuant to this offering and hold such ADSs as capital assets within the meaning of Section 1221 of the U.S. Internal Revenue Code of 1986, as amended (the “Code”). This discussion is based on the Code, U.S. Treasury regulations promulgated thereunder and administrative and judicial interpretations thereof, all as in effect on the date hereof and all of which are subject to change, possibly with retroactive effect. This discussion does not address all of the U.S. federal income tax consequences that may be relevant to specific U.S. Holders in light of their particular circumstances (such as the effects of Section 451(b) of the Code conforming the timing of certain income accruals to financial statements) or to U.S. Holders subject to special treatment under U.S. federal income tax law (such as certain financial institutions, insurance companies, broker-dealers and traders in securities or other persons that generally mark their securities to market for U.S. federal income tax purposes, tax-exempt entities, retirement plans, regulated investment companies, real estate investment trusts, certain former citizens or residents of the United States, persons who hold ADSs as part of a “straddle,” “hedge,” “conversion transaction,” “synthetic security” or integrated investment, persons who received their ADSs as compensatory payments, persons that have a “functional currency” other than the 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dollar, persons that own directly, indirectly or through attribution 10% or more of our shares by vote or value, corporations that accumulate earnings to avoid U.S. federal income tax, partnerships and other pass-through entities and arrangements that are classified as partnerships for U.S. federal income tax purposes, and investors in such pass-through entities). This discussion does not address any U.S. state or local or non-U.S. tax consequences, the Medicare tax on net investment income, or any U.S. federal estate, gift or alternative minimum tax consequences.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discussion, the term “U.S. Holder” means a beneficial owner of ADSs that is, for U.S. federal income tax purposes, (1) an individual who is a citizen or resident of the United States, (2) a corporation (or entity treated as a corporation for U.S. federal income tax purposes) created or organized in or under the laws of the United States, any state thereof, or the District of Columbia, (3) an estate the income of which is subject to U.S. federal income tax regardless of its source or (4) a trust (x) with respect to which a court within the United States is able to exercise primary supervision over its administration and one or more United States persons have the authority to control all of its substantial decisions or (y) that has elected under applicable U.S. Treasury regulations to be treated as a domestic trust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If an entity or arrangement treated as a partnership for U.S. federal income tax purposes holds ADSs, the U.S. federal income tax consequences relating to an investment in the ADSs will depend in part upon the status and activities of such entity or arrangement and the particular partner. Any such entity or arrangement, as well as its partners, should consult their own tax advisor regarding the U.S. federal income tax consequences applicable to it and its partners of the purchase, ownership and disposition of ADSs. </w:t>
      </w:r>
    </w:p>
    <w:p>
      <w:pPr>
        <w:pStyle w:val="TextBody"/>
        <w:bidi w:val="0"/>
        <w:spacing w:before="240" w:after="0"/>
        <w:jc w:val="left"/>
        <w:rPr>
          <w:rFonts w:ascii="Times New Roman" w:hAnsi="Times New Roman"/>
          <w:sz w:val="20"/>
        </w:rPr>
      </w:pPr>
      <w:r>
        <w:rPr>
          <w:rFonts w:ascii="Times New Roman" w:hAnsi="Times New Roman"/>
          <w:sz w:val="20"/>
        </w:rPr>
        <w:t xml:space="preserve">Persons considering an investment in ADSs should consult their own tax advisors as to the particular tax consequences applicable to them relating to the purchase, ownership and disposition of ADSs, including the applicability of U.S. federal, state and local tax laws and non-U.S. tax laws. </w:t>
      </w:r>
    </w:p>
    <w:p>
      <w:pPr>
        <w:pStyle w:val="TextBody"/>
        <w:bidi w:val="0"/>
        <w:spacing w:before="360" w:after="0"/>
        <w:jc w:val="left"/>
        <w:rPr>
          <w:rFonts w:ascii="Times New Roman" w:hAnsi="Times New Roman"/>
          <w:b/>
          <w:sz w:val="20"/>
        </w:rPr>
      </w:pPr>
      <w:r>
        <w:rPr>
          <w:rFonts w:ascii="Times New Roman" w:hAnsi="Times New Roman"/>
          <w:b/>
          <w:sz w:val="20"/>
        </w:rPr>
        <w:t xml:space="preserve">Passive Foreign Investment Company Consequences </w:t>
      </w:r>
    </w:p>
    <w:p>
      <w:pPr>
        <w:pStyle w:val="TextBody"/>
        <w:bidi w:val="0"/>
        <w:spacing w:before="120" w:after="0"/>
        <w:jc w:val="left"/>
        <w:rPr>
          <w:rFonts w:ascii="Times New Roman" w:hAnsi="Times New Roman"/>
          <w:sz w:val="20"/>
        </w:rPr>
      </w:pPr>
      <w:r>
        <w:rPr>
          <w:rFonts w:ascii="Times New Roman" w:hAnsi="Times New Roman"/>
          <w:sz w:val="20"/>
        </w:rPr>
        <w:t xml:space="preserve">In general, a corporation organized outside the United States will be treated as a PFIC for any taxable year in which either (1) at least 75% of its gross income is “passive income,” (the “PFIC income test”), or (2) on average at least 50% of its assets, determined on a quarterly basis, are assets that produce passive income or are held for the production of passive income, (the “PFIC asset test”). Passive income for this purpose generally includes, among other things, dividends, interest, royalties, rents, and gains from the sale or exchange of property that gives rise to passive income. Assets that produce or are held for the production of passive income generally include cash, even if held as working capital or raised in a public offering, marketable securities, and other assets that may produce passive income. Generally, in determining whether a non-U.S. corporation is a PFIC, a proportionate share of the income and assets of each corporation in which it owns, directly or indirectly, at least a 25% interest (by value) is taken into account. </w:t>
      </w:r>
    </w:p>
    <w:p>
      <w:pPr>
        <w:pStyle w:val="TextBody"/>
        <w:bidi w:val="0"/>
        <w:spacing w:before="240" w:after="0"/>
        <w:jc w:val="left"/>
        <w:rPr>
          <w:rFonts w:ascii="Times New Roman" w:hAnsi="Times New Roman"/>
          <w:sz w:val="20"/>
        </w:rPr>
      </w:pPr>
      <w:r>
        <w:rPr>
          <w:rFonts w:ascii="Times New Roman" w:hAnsi="Times New Roman"/>
          <w:sz w:val="20"/>
        </w:rPr>
        <w:t xml:space="preserve">Our status as a PFIC will depend on the nature and composition of our income and the nature, composition and value of our assets (which may be determined based on the fair market value of each asset, with the value of goodwill and going concern value being determined in large part by reference to the market value of our ADSs, which may be volatile). Our status may also depend, in part, on how quickly we utilize the cash proceeds from this offering and other fundraising activities in our business. Based on our operating history and the composition of our income and valuation of our assets, including goodwill, we do not believe we were a PFIC for our taxable year ended December 31, 2025. There can be no assurance that the IRS will agree with our conclusion and that the IRS would not successfully challenge our position. Our status as a PFIC is a fact-intensive determination made on an annual basis after the end of each taxable year, including the current taxable year. Accordingly, our U.S. counsel expresses no opinion with respect to our PFIC status for our taxable year ended December 31, 2025, and expresses no opinion with regard to our expectations regarding our PFIC status for our current taxable year or any future taxable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we are a PFIC in any taxable year during which a U.S. Holder owns ADSs, the U.S. Holder could be liable for additional taxes and interest charges under the “PFIC excess distribution regime” upon (1) a distribution paid during a taxable year that is greater than 125% of the average annual distributions paid in the three preceding taxable years, or, if shorter, the U.S. Holder’s holding period for the ADSs, and (2) any gain recognized on a sale, exchange or other disposition, including a pledge, of the ADSs, whether or not we continue to be a PFIC. Under the PFIC excess distribution regime, the tax on such distribution or gain would be determined by allocating the distribution or gain ratably over the U.S. Holder’s holding period for ADSs. The amount allocated to the current taxable year (i.e., the year in which the distribution occurs or the gain is recognized) and any year prior to the first taxable year in which we are a PFIC will be taxed as ordinary income earned in the current taxable year. The amount allocated to other taxable years will be taxed at the highest marginal rates in effect for individuals or corporations, as applicable, to ordinary income for each such taxable year, and an interest charge, generally applicable to underpayments of tax, will be added to the tax. </w:t>
      </w:r>
    </w:p>
    <w:p>
      <w:pPr>
        <w:pStyle w:val="TextBody"/>
        <w:bidi w:val="0"/>
        <w:spacing w:before="240" w:after="0"/>
        <w:jc w:val="left"/>
        <w:rPr>
          <w:rFonts w:ascii="Times New Roman" w:hAnsi="Times New Roman"/>
          <w:sz w:val="20"/>
        </w:rPr>
      </w:pPr>
      <w:r>
        <w:rPr>
          <w:rFonts w:ascii="Times New Roman" w:hAnsi="Times New Roman"/>
          <w:sz w:val="20"/>
        </w:rPr>
        <w:t xml:space="preserve">If we are a PFIC for any year during which a U.S. Holder holds ADSs, we must generally continue to be treated as a PFIC by that holder for all succeeding years during which the U.S. Holder holds the ADSs, unless we cease to meet the requirements for PFIC status and the U.S. Holder makes a “deemed sale” election with respect to the ADSs. If the election is made, the U.S. Holder will be deemed to sell the ADSs it holds at their fair market value on the last day of the last taxable year in which we qualified as a PFIC, and any gain recognized from such deemed sale would be taxed under the PFIC excess distribution regime. After the deemed sale election, the U.S. Holder’s ADSs would not be treated as shares of a PFIC unless we subsequently become a PFIC. </w:t>
      </w:r>
    </w:p>
    <w:p>
      <w:pPr>
        <w:pStyle w:val="TextBody"/>
        <w:bidi w:val="0"/>
        <w:spacing w:before="240" w:after="0"/>
        <w:jc w:val="left"/>
        <w:rPr>
          <w:rFonts w:ascii="Times New Roman" w:hAnsi="Times New Roman"/>
          <w:sz w:val="20"/>
        </w:rPr>
      </w:pPr>
      <w:r>
        <w:rPr>
          <w:rFonts w:ascii="Times New Roman" w:hAnsi="Times New Roman"/>
          <w:sz w:val="20"/>
        </w:rPr>
        <w:t xml:space="preserve">If we are a PFIC for any taxable year during which a U.S. Holder holds ADSs and one of our non-U.S. corporate subsidiaries is also a PFIC (i.e., a lower-tier PFIC), such U.S. Holder would be treated as owning a proportionate amount (by value) of the shares of the lower-tier PFIC and would be taxed under the PFIC excess distribution regime on distributions by the lower-tier PFIC and on gain from the disposition of shares of the lower-tier PFIC even though such U.S. Holder would not receive the proceeds of those distributions or dispositions. Each U.S. Holder is advised to consult its tax advisors regarding the application of the PFIC rules to our non-U.S. subsidiaries. </w:t>
      </w:r>
    </w:p>
    <w:p>
      <w:pPr>
        <w:pStyle w:val="TextBody"/>
        <w:bidi w:val="0"/>
        <w:spacing w:before="240" w:after="0"/>
        <w:jc w:val="left"/>
        <w:rPr>
          <w:rFonts w:ascii="Times New Roman" w:hAnsi="Times New Roman"/>
          <w:sz w:val="20"/>
        </w:rPr>
      </w:pPr>
      <w:r>
        <w:rPr>
          <w:rFonts w:ascii="Times New Roman" w:hAnsi="Times New Roman"/>
          <w:sz w:val="20"/>
        </w:rPr>
        <w:t xml:space="preserve">If we are a PFIC, a U.S. Holder will not be subject to tax under the PFIC excess distribution regime on distributions or gain recognized on ADSs if such U.S. Holder makes a valid “mark-to-market” election for our ADSs. A mark-to-market election is available to a U.S. Holder only for “marketable stock.” Our ADSs will be marketable stock as long as they remain listed on the Nasdaq Global Select Market and are regularly traded, other than in de minimis quantities, on at least 15 days during each calendar quarter. If a mark-to-market election is in effect, a U.S. Holder generally would take into account, as ordinary income for each taxable year of the U.S. Holder, the excess of the fair market value of ADSs held at the end of such taxable year over the adjusted tax basis of such ADSs. The U.S. Holder would also take into account, as an ordinary loss each year, the excess of the adjusted tax basis of such ADSs over their fair market value at the end of the taxable year, but only to the extent of the excess of amounts previously included in income over ordinary losses deducted as a result of the mark-to-market election. The U.S. Holder’s tax basis in ADSs would be adjusted to reflect any income or loss recognized as a result of the mark-to-market election. Any gain from a sale, exchange or other disposition of ADSs in any taxable year in which we are a PFIC would be treated as ordinary income and any loss from such sale, exchange or other disposition would be treated first as ordinary loss (to the extent of any net mark-to-market gains previously included in income) and thereafter as capital loss. </w:t>
      </w:r>
    </w:p>
    <w:p>
      <w:pPr>
        <w:pStyle w:val="TextBody"/>
        <w:bidi w:val="0"/>
        <w:spacing w:before="240" w:after="0"/>
        <w:jc w:val="left"/>
        <w:rPr>
          <w:rFonts w:ascii="Times New Roman" w:hAnsi="Times New Roman"/>
          <w:sz w:val="20"/>
        </w:rPr>
      </w:pPr>
      <w:r>
        <w:rPr>
          <w:rFonts w:ascii="Times New Roman" w:hAnsi="Times New Roman"/>
          <w:sz w:val="20"/>
        </w:rPr>
        <w:t xml:space="preserve">A mark-to-market election will not apply to ADSs for any taxable year during which we are not a PFIC, but will remain in effect with respect to any subsequent taxable year in which we become a PFIC. Such election will not apply to any non-U.S. subsidiaries that we may organize or acquire in the future. Accordingly, a U.S. Holder may continue to be subject to tax under the PFIC excess distribution regime with respect to any lower-tier PFICs that we may organize or acquire in the future notwithstanding the U.S. Holder’s mark-to-market election for the ADSs.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tax consequences that would apply if we are a PFIC would also be different from those described above if a U.S. Holder were able to make a valid qualified electing fund (“QEF”) election. At this time, we do not expect to provide U.S. Holders with the information necessary for a U.S. Holder to make a QEF election. Prospective investors should assume that a QEF election will not be available. </w:t>
      </w:r>
    </w:p>
    <w:p>
      <w:pPr>
        <w:pStyle w:val="TextBody"/>
        <w:bidi w:val="0"/>
        <w:spacing w:before="240" w:after="0"/>
        <w:jc w:val="left"/>
        <w:rPr>
          <w:rFonts w:ascii="Times New Roman" w:hAnsi="Times New Roman"/>
          <w:sz w:val="20"/>
        </w:rPr>
      </w:pPr>
      <w:r>
        <w:rPr>
          <w:rFonts w:ascii="Times New Roman" w:hAnsi="Times New Roman"/>
          <w:sz w:val="20"/>
        </w:rPr>
        <w:t xml:space="preserve">Each U.S. person that is an investor in a PFIC is generally required to file an annual information return on IRS Form 8621 containing such information as the U.S. Treasury Department may require. The failure to file IRS Form 8621 could result in the imposition of penalties and the extension of the statute of limitations with respect to U.S. federal income tax. </w:t>
      </w:r>
    </w:p>
    <w:p>
      <w:pPr>
        <w:pStyle w:val="TextBody"/>
        <w:bidi w:val="0"/>
        <w:spacing w:before="240" w:after="0"/>
        <w:jc w:val="left"/>
        <w:rPr>
          <w:rFonts w:ascii="Times New Roman" w:hAnsi="Times New Roman"/>
          <w:b/>
          <w:sz w:val="20"/>
        </w:rPr>
      </w:pPr>
      <w:r>
        <w:rPr>
          <w:rFonts w:ascii="Times New Roman" w:hAnsi="Times New Roman"/>
          <w:b/>
          <w:sz w:val="20"/>
        </w:rPr>
        <w:t xml:space="preserve">The U.S. federal income tax rules relating to PFICs are very complex. Prospective U.S. Holders are strongly urged to consult their own tax advisors with respect to the impact of PFIC status on the purchase, ownership and disposition of ADSs, the consequences to them of an investment in a PFIC, any elections available with respect to the ADSs and the IRS information reporting obligations with respect to the purchase, ownership and disposition of ADSs of a PFIC. </w:t>
      </w:r>
    </w:p>
    <w:p>
      <w:pPr>
        <w:pStyle w:val="TextBody"/>
        <w:bidi w:val="0"/>
        <w:spacing w:before="360" w:after="0"/>
        <w:jc w:val="left"/>
        <w:rPr>
          <w:rFonts w:ascii="Times New Roman" w:hAnsi="Times New Roman"/>
          <w:b/>
          <w:sz w:val="20"/>
        </w:rPr>
      </w:pPr>
      <w:r>
        <w:rPr>
          <w:rFonts w:ascii="Times New Roman" w:hAnsi="Times New Roman"/>
          <w:b/>
          <w:sz w:val="20"/>
        </w:rPr>
        <w:t xml:space="preserve">Distributions </w:t>
      </w:r>
    </w:p>
    <w:p>
      <w:pPr>
        <w:pStyle w:val="TextBody"/>
        <w:bidi w:val="0"/>
        <w:spacing w:before="120" w:after="0"/>
        <w:jc w:val="left"/>
        <w:rPr>
          <w:rFonts w:ascii="Times New Roman" w:hAnsi="Times New Roman"/>
          <w:sz w:val="20"/>
        </w:rPr>
      </w:pPr>
      <w:r>
        <w:rPr>
          <w:rFonts w:ascii="Times New Roman" w:hAnsi="Times New Roman"/>
          <w:sz w:val="20"/>
        </w:rPr>
        <w:t xml:space="preserve">As described in the section titled “Dividend Policy,” we do not anticipate declaring or paying dividends to holders of our ADSs in the foreseeable future. However, if we make a distribution contrary to that expectation, subject to the discussion above under “—Passive Foreign Investment Company Consequences,” a U.S. Holder that receives a distribution with respect to ADSs generally will be required to include the gross amount of such distribution in gross income as a dividend when actually or constructively received to the extent of the U.S. Holder’s pro rata share of our current and/or accumulated earnings and profits (as determined under U.S. federal income tax principles). To the extent a distribution received by a U.S. Holder is not a dividend because it exceeds the U.S. Holder’s pro rata share of our current and accumulated earnings and profits, it will be treated first as a tax-free return of capital and reduce (but not below zero) the adjusted tax basis of the U.S. Holder’s ADSs. To the extent the distribution exceeds the adjusted tax basis of the U.S. Holder’s ADSs, the remainder will be taxed as capital gain. Because we may not account for our earnings and profits in accordance with U.S. federal income tax principles, U.S. Holders should expect all distributions to be reported to them as dividends. </w:t>
      </w:r>
    </w:p>
    <w:p>
      <w:pPr>
        <w:pStyle w:val="TextBody"/>
        <w:bidi w:val="0"/>
        <w:spacing w:before="240" w:after="0"/>
        <w:jc w:val="left"/>
        <w:rPr>
          <w:rFonts w:ascii="Times New Roman" w:hAnsi="Times New Roman"/>
          <w:sz w:val="20"/>
        </w:rPr>
      </w:pPr>
      <w:r>
        <w:rPr>
          <w:rFonts w:ascii="Times New Roman" w:hAnsi="Times New Roman"/>
          <w:sz w:val="20"/>
        </w:rPr>
        <w:t xml:space="preserve">Distributions on ADSs that are treated as dividends generally will constitute income from sources outside the United States for foreign tax credit purposes and generally will constitute passive category income. Subject to certain complex conditions and limitations, taxes withheld on any distributions on ADSs (such as PRC withholding taxes described below under “—PRC Taxation”) may be eligible for credit against a U.S. Holder’s federal income tax liability. However, Treasury Regulations may in some circumstances prohibit a U.S. person from claiming a foreign tax credit with respect to certain non-U.S. taxes that are not creditable under applicable income tax treaties. The rules relating to the determination of the U.S. foreign tax credit are complex, and U.S. Holders should consult their tax advisors regarding the availability of a foreign tax credit in their particular circumstances and the possibility of claiming an itemized deduction (in lieu of the foreign tax credit) for any foreign taxes paid or withheld. </w:t>
      </w:r>
    </w:p>
    <w:p>
      <w:pPr>
        <w:pStyle w:val="TextBody"/>
        <w:bidi w:val="0"/>
        <w:spacing w:before="240" w:after="0"/>
        <w:jc w:val="left"/>
        <w:rPr>
          <w:rFonts w:ascii="Times New Roman" w:hAnsi="Times New Roman"/>
          <w:sz w:val="20"/>
        </w:rPr>
      </w:pPr>
      <w:r>
        <w:rPr>
          <w:rFonts w:ascii="Times New Roman" w:hAnsi="Times New Roman"/>
          <w:sz w:val="20"/>
        </w:rPr>
        <w:t xml:space="preserve">Distributions on ADSs that are treated as dividends generally will not be eligible for the “dividends received” deduction generally allowed to corporate shareholders with respect to dividends received from U.S. corporations. Dividends paid by a “qualified foreign corporation” are eligible for taxation to non-corporate U.S. Holders at a reduced capital gains rate rather than the marginal tax rates generally applicable to ordinary income provided that certain requirements are met. A non-United States corporation (other than a corporation that is classified as a PFIC for the taxable year in which the dividend is paid or the preceding taxable year) generally will be considered to be a qualified foreign corporation (a) if it is eligible for the benefits of a comprehensive tax treaty with the United States which the Secretary of Treasury of the United States determines is satisfactory for purposes of this provision and which includes an exchange of information provision, or (b) with respect to any dividend it pays on shares that are readily tradable on an established securities market in the United States. Our ADSs generally will be considered to be readily tradable on an established securities market in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so long as they are listed on the Nasdaq Global Select Market. Each U.S. Holder is advised to consult its tax advisors regarding the availability of the reduced tax rate on dividends with regard to its particular circumstances. </w:t>
      </w:r>
    </w:p>
    <w:p>
      <w:pPr>
        <w:pStyle w:val="TextBody"/>
        <w:bidi w:val="0"/>
        <w:spacing w:before="360" w:after="0"/>
        <w:jc w:val="left"/>
        <w:rPr>
          <w:rFonts w:ascii="Times New Roman" w:hAnsi="Times New Roman"/>
          <w:b/>
          <w:sz w:val="20"/>
        </w:rPr>
      </w:pPr>
      <w:r>
        <w:rPr>
          <w:rFonts w:ascii="Times New Roman" w:hAnsi="Times New Roman"/>
          <w:b/>
          <w:sz w:val="20"/>
        </w:rPr>
        <w:t xml:space="preserve">Sale, Exchange or Other Disposition of ADSs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 above under “—Passive Foreign Investment Company Consequences,” a U.S. Holder generally will recognize capital gain or loss for U.S. federal income tax purposes upon the sale, exchange or other disposition of ADSs in an amount equal to the difference, if any, between the amount realized (i.e., the amount of cash plus the fair market value of any property received) on the sale, exchange or other disposition and such U.S. Holder’s adjusted tax basis in the ADSs. Such capital gain or loss generally will be long-term capital gain taxable at a reduced rate for non-corporate U.S. Holders or long-term capital loss if, on the date of sale, exchange or other disposition, the ADSs were held by the U.S. Holder for more than one year. Any capital gain of a non-corporate U.S. Holder that is not long-term capital gain is taxed at ordinary income rates. The deductibility of capital losses is subject to limitations. Any gain or loss recognized from the sale or other disposition of ADSs will generally be gain or loss from sources within the United States for U.S. foreign tax credit purposes. </w:t>
      </w:r>
    </w:p>
    <w:p>
      <w:pPr>
        <w:pStyle w:val="TextBody"/>
        <w:bidi w:val="0"/>
        <w:spacing w:before="360" w:after="0"/>
        <w:jc w:val="left"/>
        <w:rPr>
          <w:rFonts w:ascii="Times New Roman" w:hAnsi="Times New Roman"/>
          <w:b/>
          <w:sz w:val="20"/>
        </w:rPr>
      </w:pPr>
      <w:r>
        <w:rPr>
          <w:rFonts w:ascii="Times New Roman" w:hAnsi="Times New Roman"/>
          <w:b/>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U.S. Holders may be required to file certain U.S. information reporting returns with the IRS with respect to an investment in ADSs, including, among others, IRS Form 8938 (Statement of Specified Foreign Financial Assets), which requires certain U.S. Holders to report “specified foreign financial assets,” which generally include financial accounts held at a non-U.S. financial institution, interests in non-U.S. entities, as well as stock and other securities issued by a non-U.S. person. As described above under “—Passive Foreign Investment Company Consequences,” each U.S. Holder who is a shareholder of a PFIC must file an annual report containing certain information. U.S. Holders paying more than US$100,000 for ADSs may be required to file IRS Form 926 (Return by a U.S. Transferor of Property to a Foreign Corporation) reporting this payment. Substantial penalties may be imposed upon a U.S. Holder that fails to comply with the required information reporting. U.S. Holders are thus encouraged to consult their U.S. tax advisors with respect to these and other reporting requirements that may apply to their acquisition of the ADSs. </w:t>
      </w:r>
    </w:p>
    <w:p>
      <w:pPr>
        <w:pStyle w:val="TextBody"/>
        <w:bidi w:val="0"/>
        <w:spacing w:before="240" w:after="0"/>
        <w:jc w:val="left"/>
        <w:rPr>
          <w:rFonts w:ascii="Times New Roman" w:hAnsi="Times New Roman"/>
          <w:sz w:val="20"/>
        </w:rPr>
      </w:pPr>
      <w:r>
        <w:rPr>
          <w:rFonts w:ascii="Times New Roman" w:hAnsi="Times New Roman"/>
          <w:sz w:val="20"/>
        </w:rPr>
        <w:t xml:space="preserve">Dividends on and proceeds from the sale or other disposition of ADSs may be reported to the IRS unless the U.S. Holder establishes a basis for exemption. Backup withholding may apply to amounts subject to reporting if the holder (1) fails to provide an accurate United States taxpayer identification number or otherwise establish a basis for exemption (usually on IRS Form W-9), or (2) is described in certain other categories of persons. However, U.S. Holders that are corporations generally are excluded from these information reporting and backup withholding tax rules. Backup withholding is not an additional tax. Any amounts withheld under the backup withholding rules generally will be allowed as a refund or a credit against a U.S. Holder’s U.S. federal income tax liability if the required information is furnished by the U.S. Holder on a timely basis to the IRS. </w:t>
      </w:r>
    </w:p>
    <w:p>
      <w:pPr>
        <w:pStyle w:val="TextBody"/>
        <w:bidi w:val="0"/>
        <w:spacing w:before="240" w:after="0"/>
        <w:jc w:val="left"/>
        <w:rPr>
          <w:rFonts w:ascii="Times New Roman" w:hAnsi="Times New Roman"/>
          <w:sz w:val="20"/>
        </w:rPr>
      </w:pPr>
      <w:r>
        <w:rPr>
          <w:rFonts w:ascii="Times New Roman" w:hAnsi="Times New Roman"/>
          <w:sz w:val="20"/>
        </w:rPr>
        <w:t xml:space="preserve">U.S. Holders should consult their own tax advisors regarding the backup withholding tax and information reporting rules. </w:t>
      </w:r>
    </w:p>
    <w:p>
      <w:pPr>
        <w:pStyle w:val="TextBody"/>
        <w:bidi w:val="0"/>
        <w:spacing w:before="240" w:after="0"/>
        <w:jc w:val="left"/>
        <w:rPr>
          <w:rFonts w:ascii="Times New Roman" w:hAnsi="Times New Roman"/>
          <w:b/>
          <w:sz w:val="20"/>
        </w:rPr>
      </w:pPr>
      <w:r>
        <w:rPr>
          <w:rFonts w:ascii="Times New Roman" w:hAnsi="Times New Roman"/>
          <w:b/>
          <w:sz w:val="20"/>
        </w:rPr>
        <w:t xml:space="preserve">EACH PROSPECTIVE INVESTOR IS URGED TO CONSULT ITS OWN TAX ADVISOR ABOUT THE TAX CONSEQUENCES TO IT OF AN INVESTMENT IN ADSS IN LIGHT OF THE INVESTOR’S OWN CIRCUMSTANCES. </w:t>
      </w:r>
    </w:p>
    <w:p>
      <w:pPr>
        <w:pStyle w:val="TextBody"/>
        <w:bidi w:val="0"/>
        <w:spacing w:before="360" w:after="0"/>
        <w:jc w:val="left"/>
        <w:rPr>
          <w:rFonts w:ascii="Times New Roman" w:hAnsi="Times New Roman"/>
          <w:b/>
          <w:sz w:val="20"/>
        </w:rPr>
      </w:pPr>
      <w:r>
        <w:rPr>
          <w:rFonts w:ascii="Times New Roman" w:hAnsi="Times New Roman"/>
          <w:b/>
          <w:sz w:val="20"/>
        </w:rPr>
        <w:t xml:space="preserve">PRC Taxation </w:t>
      </w:r>
    </w:p>
    <w:p>
      <w:pPr>
        <w:pStyle w:val="TextBody"/>
        <w:bidi w:val="0"/>
        <w:spacing w:before="120" w:after="0"/>
        <w:jc w:val="left"/>
        <w:rPr>
          <w:rFonts w:ascii="Times New Roman" w:hAnsi="Times New Roman"/>
          <w:sz w:val="20"/>
        </w:rPr>
      </w:pPr>
      <w:r>
        <w:rPr>
          <w:rFonts w:ascii="Times New Roman" w:hAnsi="Times New Roman"/>
          <w:sz w:val="20"/>
        </w:rPr>
        <w:t xml:space="preserve">Under the PRC Enterprise Income Tax Law and its implementation rules, an enterprise established outside China with “de facto management body” within China is considered as a Tax Resident Enterprise for PRC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enterprise income tax purposes and is generally subject to a uniform 25% enterprise income tax rate on its worldwide income. The implementation rules of the PRC Enterprise Income Tax Law define the term “de facto management body” as the body that exercises full and substantial control and overall management over the business, productions, personnel, accounts and properties of an enterprise. In April 2009, the SAT issued SAT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SAT’s general position on how the “de facto management body” text should be applied in determining the tax resident status of all offshore enterprises. According to SAT Circular 82, an offshore incorporated enterprise controlled by a PRC enterprise or a PRC enterprise group will be regarded as a PRC tax resident by virtue of having its “de facto management body” in China if all of the following conditions are met: (i) the primary location of the day-to-day operational management is in China; (ii) decisions relating to the enterprise’s financial and human resource matters are made or are subject to approval by organizations or personnel located in China; (iii) the enterprise’s primary assets, accounting books and records, company seals, and board and shareholder resolutions, are located or maintained in China; and (iv) at least 50% of board members with voting rights or senior executives habitually reside in China. </w:t>
      </w:r>
    </w:p>
    <w:p>
      <w:pPr>
        <w:pStyle w:val="TextBody"/>
        <w:bidi w:val="0"/>
        <w:spacing w:before="240" w:after="0"/>
        <w:jc w:val="left"/>
        <w:rPr>
          <w:rFonts w:ascii="Times New Roman" w:hAnsi="Times New Roman"/>
          <w:sz w:val="20"/>
        </w:rPr>
      </w:pPr>
      <w:r>
        <w:rPr>
          <w:rFonts w:ascii="Times New Roman" w:hAnsi="Times New Roman"/>
          <w:sz w:val="20"/>
        </w:rPr>
        <w:t xml:space="preserve">We believe that we should not be considered as a PRC resident enterprise for PRC tax purposes as (i) we are incorporated outside of China and not controlled by a PRC enterprise or PRC enterprise group; and (ii) we do not meet all of the conditions above. However, the tax resident status of an enterprise is subject to determination by the PRC tax authorities and uncertainties remain with respect to the interpretation of the term “de facto management body.” There can be no assurance that PRC tax authorities will ultimately not take a different view. </w:t>
      </w:r>
    </w:p>
    <w:p>
      <w:pPr>
        <w:pStyle w:val="TextBody"/>
        <w:bidi w:val="0"/>
        <w:spacing w:before="240" w:after="0"/>
        <w:jc w:val="left"/>
        <w:rPr>
          <w:rFonts w:ascii="Times New Roman" w:hAnsi="Times New Roman"/>
          <w:sz w:val="20"/>
        </w:rPr>
      </w:pPr>
      <w:r>
        <w:rPr>
          <w:rFonts w:ascii="Times New Roman" w:hAnsi="Times New Roman"/>
          <w:sz w:val="20"/>
        </w:rPr>
        <w:t xml:space="preserve">If the PRC tax authorities determine that we are a PRC resident enterprise for enterprise income tax purposes, our worldwide income could be subject to 25% enterprise income tax; and any dividends payable to non-resident enterprise holders of our ordinary shares or ADSs may be treated as income derived from sources within China and therefore, subject to a 10% withholding tax (or 20% in the case of non-resident individual holders) unless an applicable income tax treaty provides otherwise. In addition, capital gains realized by non-resident enterprise shareholders (including our ADS holders) upon the disposition of our ordinary shares or ADSs may be treated as income derived from sources within PRC and therefore, subject to 10% income tax (or 20% in the case of non-resident individual shareholders or ADS holders) unless an applicable income tax treaty provides otherwise. It is unclear whether non-PRC shareholders of our company would be able to claim the benefits of any tax treaties between their country of tax residence and the PRC in the event that we are treated as a PRC resident enterprise.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s150521_11"/>
      <w:bookmarkEnd w:id="13"/>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We are being represented by Cooley LLP with respect to certain legal matters as to United States federal securities and New York State law. The underwriters are being represented by Wilson Sonsini Goodrich &amp; Rosati, Professional Corporation with respect to certain legal matters as to United States federal securities and New York State law. The validity of the ordinary shares represented by the ADSs offered in this offering and legal matters as to Cayman Islands law will be passed upon for us by Maples and Calder (Hong Kong) LLP. Certain legal matters as to the PRC law will be passed upon for us by JunHe LLP and the underwriters by Jingtian &amp; Congcheng. Cooley LLP may rely upon Maples and Calder (Hong Kong) LLP with respect to matters governed by Cayman Islands law and JunHe LLP with respect to matters governed by PRC law. </w:t>
      </w:r>
    </w:p>
    <w:p>
      <w:pPr>
        <w:pStyle w:val="TextBody"/>
        <w:bidi w:val="0"/>
        <w:spacing w:before="480" w:after="0"/>
        <w:jc w:val="center"/>
        <w:rPr>
          <w:rFonts w:ascii="Times New Roman" w:hAnsi="Times New Roman"/>
          <w:b/>
          <w:sz w:val="20"/>
        </w:rPr>
      </w:pPr>
      <w:bookmarkStart w:id="14" w:name="s150521_12"/>
      <w:bookmarkEnd w:id="14"/>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Ernst &amp; Young LLP, independent registered public accounting firm, has audited our consolidated financial statements included in our Annual Report on Form 20-F for the year ended December 31, 2025, and the effectiveness of our internal control over financial reporting as of December 31, 2025, as set forth in their reports, which are incorporated by reference in this preliminary prospectus supplement and elsewhere in the registration statement. Our financial statements are incorporated by reference in reliance on Ernst &amp; Young LLP’s reports, given on their authority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s150521_13"/>
      <w:bookmarkEnd w:id="15"/>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are currently subject to periodic reporting and other informational requirements of the Exchange Act, as applicable to foreign private issuers. Accordingly, we are required to file reports, including annual reports on Form 20-F and other information with the SEC. The SEC maintains a website that contains reports, proxy and information statements and other information regarding registrants that file electronically with the SEC. The address is </w:t>
      </w:r>
      <w:r>
        <w:rPr>
          <w:rFonts w:ascii="Times New Roman" w:hAnsi="Times New Roman"/>
          <w:i/>
          <w:sz w:val="20"/>
        </w:rPr>
        <w:t>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 However, we intend to furnish the depositary with our annual reports, which will include a review of operations and annual audited consolidated financial statements prepared in conformity with generally accepted accounting principles in the United States, and all notices of shareholders’ meetings and other reports and communications that are made generally available to our shareholders. The depositary will make such notices, reports and communications available to holders of ADSs and will mail to all record holders of ADSs the information contained in any notice of a shareholders’ meeting received by the depositary from us if we ask it to.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accompanying prospectus are part of a registration statement on Form F-3 that we filed with the SEC and do not contain all of the information in the registration statement. The full registration statement may be obtained from the SEC or us, as provided below. Forms of the documents establishing the terms of the offered securities are or may be filed as exhibits to the registration statement to which this prospectus supplement relates or otherwise with the SEC. Statements in this prospectus supplement and accompanying prospectus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s150521_14"/>
      <w:bookmarkEnd w:id="16"/>
      <w:r>
        <w:rPr>
          <w:rFonts w:ascii="Times New Roman" w:hAnsi="Times New Roman"/>
          <w:b/>
          <w:sz w:val="20"/>
        </w:rPr>
        <w:t xml:space="preserve">INCORPORATION OF DOCUMENTS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supplement and should be read with the same care. When we update the information contained in documents that have been incorporated by reference by making future filings with the SEC, the information incorporated by reference in this prospectus supplement is considered to be automatically updated and superseded. In other words, in the case of a conflict or inconsistency between information contained in this prospectus supplement and information incorporated by reference in this prospectus supplement, you should rely on the information contained in the document that was filed later. </w:t>
      </w:r>
    </w:p>
    <w:p>
      <w:pPr>
        <w:pStyle w:val="TextBody"/>
        <w:bidi w:val="0"/>
        <w:spacing w:before="240" w:after="0"/>
        <w:jc w:val="left"/>
        <w:rPr>
          <w:rFonts w:ascii="Times New Roman" w:hAnsi="Times New Roman"/>
          <w:sz w:val="20"/>
        </w:rPr>
      </w:pPr>
      <w:r>
        <w:rPr>
          <w:rFonts w:ascii="Times New Roman" w:hAnsi="Times New Roman"/>
          <w:sz w:val="20"/>
        </w:rPr>
        <w:t xml:space="preserve">The documents we are incorporating by reference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20-F</w:t>
              </w:r>
            </w:hyperlink>
            <w:r>
              <w:rPr>
                <w:rFonts w:ascii="Times New Roman" w:hAnsi="Times New Roman"/>
                <w:sz w:val="20"/>
              </w:rPr>
              <w:t xml:space="preserve"> for the fiscal year ended December 31, 2025, filed with the SEC on March 10, 2026 (File No. 001-39307);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the securities contained in our registration statement on </w:t>
            </w:r>
            <w:hyperlink r:id="rId4">
              <w:r>
                <w:rPr>
                  <w:rStyle w:val="InternetLink"/>
                  <w:rFonts w:ascii="Times New Roman" w:hAnsi="Times New Roman"/>
                  <w:sz w:val="20"/>
                </w:rPr>
                <w:t>Form 8-A</w:t>
              </w:r>
            </w:hyperlink>
            <w:r>
              <w:rPr>
                <w:rFonts w:ascii="Times New Roman" w:hAnsi="Times New Roman"/>
                <w:sz w:val="20"/>
              </w:rPr>
              <w:t xml:space="preserve"> filed on June 2, 2020 (File No. 001-39307) pursuant to Section 12 of the Exchange Act, together with all amendments and reports filed for the purpose of updating that description, including </w:t>
            </w:r>
            <w:hyperlink r:id="rId5">
              <w:r>
                <w:rPr>
                  <w:rStyle w:val="InternetLink"/>
                  <w:rFonts w:ascii="Times New Roman" w:hAnsi="Times New Roman"/>
                  <w:sz w:val="20"/>
                </w:rPr>
                <w:t>Exhibit 2.4</w:t>
              </w:r>
            </w:hyperlink>
            <w:r>
              <w:rPr>
                <w:rFonts w:ascii="Times New Roman" w:hAnsi="Times New Roman"/>
                <w:sz w:val="20"/>
              </w:rPr>
              <w:t xml:space="preserve"> to our Annual Report on Form 20-F for the year ended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Reports on Form 6-K filed with the SEC on </w:t>
            </w:r>
            <w:hyperlink r:id="rId6">
              <w:r>
                <w:rPr>
                  <w:rStyle w:val="InternetLink"/>
                  <w:rFonts w:ascii="Times New Roman" w:hAnsi="Times New Roman"/>
                  <w:sz w:val="20"/>
                </w:rPr>
                <w:t>January 12, 2026</w:t>
              </w:r>
            </w:hyperlink>
            <w:r>
              <w:rPr>
                <w:rFonts w:ascii="Times New Roman" w:hAnsi="Times New Roman"/>
                <w:sz w:val="20"/>
              </w:rPr>
              <w:t xml:space="preserve">, </w:t>
            </w:r>
            <w:hyperlink r:id="rId7">
              <w:r>
                <w:rPr>
                  <w:rStyle w:val="InternetLink"/>
                  <w:rFonts w:ascii="Times New Roman" w:hAnsi="Times New Roman"/>
                  <w:sz w:val="20"/>
                </w:rPr>
                <w:t>January 14, 2026</w:t>
              </w:r>
            </w:hyperlink>
            <w:r>
              <w:rPr>
                <w:rFonts w:ascii="Times New Roman" w:hAnsi="Times New Roman"/>
                <w:sz w:val="20"/>
              </w:rPr>
              <w:t xml:space="preserve">, </w:t>
            </w:r>
            <w:hyperlink r:id="rId8">
              <w:r>
                <w:rPr>
                  <w:rStyle w:val="InternetLink"/>
                  <w:rFonts w:ascii="Times New Roman" w:hAnsi="Times New Roman"/>
                  <w:sz w:val="20"/>
                </w:rPr>
                <w:t>January  21, 2026</w:t>
              </w:r>
            </w:hyperlink>
            <w:r>
              <w:rPr>
                <w:rFonts w:ascii="Times New Roman" w:hAnsi="Times New Roman"/>
                <w:sz w:val="20"/>
              </w:rPr>
              <w:t xml:space="preserve">, </w:t>
            </w:r>
            <w:hyperlink r:id="rId9">
              <w:r>
                <w:rPr>
                  <w:rStyle w:val="InternetLink"/>
                  <w:rFonts w:ascii="Times New Roman" w:hAnsi="Times New Roman"/>
                  <w:sz w:val="20"/>
                </w:rPr>
                <w:t>January 23, 2026</w:t>
              </w:r>
            </w:hyperlink>
            <w:r>
              <w:rPr>
                <w:rFonts w:ascii="Times New Roman" w:hAnsi="Times New Roman"/>
                <w:sz w:val="20"/>
              </w:rPr>
              <w:t xml:space="preserve">, </w:t>
            </w:r>
            <w:hyperlink r:id="rId10">
              <w:r>
                <w:rPr>
                  <w:rStyle w:val="InternetLink"/>
                  <w:rFonts w:ascii="Times New Roman" w:hAnsi="Times New Roman"/>
                  <w:sz w:val="20"/>
                </w:rPr>
                <w:t>February  6, 2026</w:t>
              </w:r>
            </w:hyperlink>
            <w:r>
              <w:rPr>
                <w:rFonts w:ascii="Times New Roman" w:hAnsi="Times New Roman"/>
                <w:sz w:val="20"/>
              </w:rPr>
              <w:t xml:space="preserve">, </w:t>
            </w:r>
            <w:hyperlink r:id="rId11">
              <w:r>
                <w:rPr>
                  <w:rStyle w:val="InternetLink"/>
                  <w:rFonts w:ascii="Times New Roman" w:hAnsi="Times New Roman"/>
                  <w:sz w:val="20"/>
                </w:rPr>
                <w:t>March 10, 2026</w:t>
              </w:r>
            </w:hyperlink>
            <w:r>
              <w:rPr>
                <w:rFonts w:ascii="Times New Roman" w:hAnsi="Times New Roman"/>
                <w:sz w:val="20"/>
              </w:rPr>
              <w:t xml:space="preserve">, </w:t>
            </w:r>
            <w:hyperlink r:id="rId12">
              <w:r>
                <w:rPr>
                  <w:rStyle w:val="InternetLink"/>
                  <w:rFonts w:ascii="Times New Roman" w:hAnsi="Times New Roman"/>
                  <w:sz w:val="20"/>
                </w:rPr>
                <w:t>April  14, 2026</w:t>
              </w:r>
            </w:hyperlink>
            <w:r>
              <w:rPr>
                <w:rFonts w:ascii="Times New Roman" w:hAnsi="Times New Roman"/>
                <w:sz w:val="20"/>
              </w:rPr>
              <w:t xml:space="preserve">, </w:t>
            </w:r>
            <w:hyperlink r:id="rId13">
              <w:r>
                <w:rPr>
                  <w:rStyle w:val="InternetLink"/>
                  <w:rFonts w:ascii="Times New Roman" w:hAnsi="Times New Roman"/>
                  <w:sz w:val="20"/>
                </w:rPr>
                <w:t>May  12, 2026</w:t>
              </w:r>
            </w:hyperlink>
            <w:r>
              <w:rPr>
                <w:rFonts w:ascii="Times New Roman" w:hAnsi="Times New Roman"/>
                <w:sz w:val="20"/>
              </w:rPr>
              <w:t xml:space="preserve">, </w:t>
            </w:r>
            <w:hyperlink r:id="rId14">
              <w:r>
                <w:rPr>
                  <w:rStyle w:val="InternetLink"/>
                  <w:rFonts w:ascii="Times New Roman" w:hAnsi="Times New Roman"/>
                  <w:sz w:val="20"/>
                </w:rPr>
                <w:t>May 21, 2026</w:t>
              </w:r>
            </w:hyperlink>
            <w:r>
              <w:rPr>
                <w:rFonts w:ascii="Times New Roman" w:hAnsi="Times New Roman"/>
                <w:sz w:val="20"/>
              </w:rPr>
              <w:t xml:space="preserve">, </w:t>
            </w:r>
            <w:hyperlink r:id="rId15">
              <w:r>
                <w:rPr>
                  <w:rStyle w:val="InternetLink"/>
                  <w:rFonts w:ascii="Times New Roman" w:hAnsi="Times New Roman"/>
                  <w:sz w:val="20"/>
                </w:rPr>
                <w:t>June  1, 2026</w:t>
              </w:r>
            </w:hyperlink>
            <w:r>
              <w:rPr>
                <w:rFonts w:ascii="Times New Roman" w:hAnsi="Times New Roman"/>
                <w:sz w:val="20"/>
              </w:rPr>
              <w:t xml:space="preserve">, </w:t>
            </w:r>
            <w:hyperlink r:id="rId16">
              <w:r>
                <w:rPr>
                  <w:rStyle w:val="InternetLink"/>
                  <w:rFonts w:ascii="Times New Roman" w:hAnsi="Times New Roman"/>
                  <w:sz w:val="20"/>
                </w:rPr>
                <w:t>June 2, 2026</w:t>
              </w:r>
            </w:hyperlink>
            <w:r>
              <w:rPr>
                <w:rFonts w:ascii="Times New Roman" w:hAnsi="Times New Roman"/>
                <w:sz w:val="20"/>
              </w:rPr>
              <w:t xml:space="preserve"> and </w:t>
            </w:r>
            <w:hyperlink r:id="rId17">
              <w:r>
                <w:rPr>
                  <w:rStyle w:val="InternetLink"/>
                  <w:rFonts w:ascii="Times New Roman" w:hAnsi="Times New Roman"/>
                  <w:sz w:val="20"/>
                </w:rPr>
                <w:t>June 15,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future annual reports on Form 20-F filed with the SEC after the date of this prospectus supplement and prior to the termination of the offering of the securities offered by this prospectus supplement;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future current reports on Form 6-K that we furnish to the SEC on or after the date of this prospectus supplement and prior to the termination of the offering of the securities offered by this prospectus supplement that are identified in such reports as being incorporated by reference in this prospectus supplement.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expressly incorporated by reference, nothing in this prospectus supplement shall be deemed to incorporate by reference information furnished to, but not filed with, the SEC. Copies of all documents incorporated by reference in this prospectus supplement, other than exhibits to those documents unless such exhibits are specially incorporated by reference in this prospectus supplement, will be provided at no cost to each person, including any beneficial owner, who receives a copy of this prospectus on the written or oral request of that person made to: </w:t>
      </w:r>
    </w:p>
    <w:p>
      <w:pPr>
        <w:pStyle w:val="TextBody"/>
        <w:bidi w:val="0"/>
        <w:spacing w:before="240" w:after="0"/>
        <w:jc w:val="center"/>
        <w:rPr>
          <w:rFonts w:ascii="Times New Roman" w:hAnsi="Times New Roman"/>
          <w:sz w:val="20"/>
        </w:rPr>
      </w:pPr>
      <w:r>
        <w:rPr>
          <w:rFonts w:ascii="Times New Roman" w:hAnsi="Times New Roman"/>
          <w:sz w:val="20"/>
        </w:rPr>
        <w:t xml:space="preserve">Legend Biotech Corporation </w:t>
      </w:r>
    </w:p>
    <w:p>
      <w:pPr>
        <w:pStyle w:val="TextBody"/>
        <w:bidi w:val="0"/>
        <w:spacing w:before="0" w:after="0"/>
        <w:jc w:val="center"/>
        <w:rPr>
          <w:rFonts w:ascii="Times New Roman" w:hAnsi="Times New Roman"/>
          <w:sz w:val="20"/>
        </w:rPr>
      </w:pPr>
      <w:r>
        <w:rPr>
          <w:rFonts w:ascii="Times New Roman" w:hAnsi="Times New Roman"/>
          <w:sz w:val="20"/>
        </w:rPr>
        <w:t xml:space="preserve">2101 Cottontail Lane </w:t>
      </w:r>
    </w:p>
    <w:p>
      <w:pPr>
        <w:pStyle w:val="TextBody"/>
        <w:bidi w:val="0"/>
        <w:spacing w:before="0" w:after="0"/>
        <w:jc w:val="center"/>
        <w:rPr>
          <w:rFonts w:ascii="Times New Roman" w:hAnsi="Times New Roman"/>
          <w:sz w:val="20"/>
        </w:rPr>
      </w:pPr>
      <w:r>
        <w:rPr>
          <w:rFonts w:ascii="Times New Roman" w:hAnsi="Times New Roman"/>
          <w:sz w:val="20"/>
        </w:rPr>
        <w:t xml:space="preserve">Somerset, NJ 08873 </w:t>
      </w:r>
    </w:p>
    <w:p>
      <w:pPr>
        <w:pStyle w:val="TextBody"/>
        <w:bidi w:val="0"/>
        <w:spacing w:before="0" w:after="0"/>
        <w:jc w:val="center"/>
        <w:rPr>
          <w:rFonts w:ascii="Times New Roman" w:hAnsi="Times New Roman"/>
          <w:sz w:val="20"/>
        </w:rPr>
      </w:pPr>
      <w:r>
        <w:rPr>
          <w:rFonts w:ascii="Times New Roman" w:hAnsi="Times New Roman"/>
          <w:sz w:val="20"/>
        </w:rPr>
        <w:t xml:space="preserve">(732) 317-5050 </w:t>
      </w:r>
    </w:p>
    <w:p>
      <w:pPr>
        <w:pStyle w:val="TextBody"/>
        <w:bidi w:val="0"/>
        <w:spacing w:before="240" w:after="0"/>
        <w:jc w:val="left"/>
        <w:rPr>
          <w:rFonts w:ascii="Times New Roman" w:hAnsi="Times New Roman"/>
          <w:sz w:val="20"/>
        </w:rPr>
      </w:pPr>
      <w:r>
        <w:rPr>
          <w:rFonts w:ascii="Times New Roman" w:hAnsi="Times New Roman"/>
          <w:sz w:val="20"/>
        </w:rPr>
        <w:t xml:space="preserve">You may also access these documents on our website, </w:t>
      </w:r>
      <w:r>
        <w:rPr>
          <w:rFonts w:ascii="Times New Roman" w:hAnsi="Times New Roman"/>
          <w:i/>
          <w:sz w:val="20"/>
        </w:rPr>
        <w:t>www.legendbiotech.com</w:t>
      </w:r>
      <w:r>
        <w:rPr>
          <w:rFonts w:ascii="Times New Roman" w:hAnsi="Times New Roman"/>
          <w:sz w:val="20"/>
        </w:rPr>
        <w:t xml:space="preserve">. The information contained on this website is not a part of this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 should rely only on information contained in, or incorporated by reference into, this prospectus supplement and accompanying prospectus. We have not authorized anyone to provide you with information different from that contained in this prospectus supplement or incorporated by reference in this prospectus supplement and accompanying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620010" cy="112268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8"/>
                    <a:stretch>
                      <a:fillRect/>
                    </a:stretch>
                  </pic:blipFill>
                  <pic:spPr bwMode="auto">
                    <a:xfrm>
                      <a:off x="0" y="0"/>
                      <a:ext cx="2620010" cy="1122680"/>
                    </a:xfrm>
                    <a:prstGeom prst="rect">
                      <a:avLst/>
                    </a:prstGeom>
                  </pic:spPr>
                </pic:pic>
              </a:graphicData>
            </a:graphic>
          </wp:inline>
        </w:drawing>
      </w:r>
      <w:r>
        <w:rPr/>
        <w:t xml:space="preserve"> </w:t>
      </w:r>
    </w:p>
    <w:p>
      <w:pPr>
        <w:pStyle w:val="TextBody"/>
        <w:bidi w:val="0"/>
        <w:spacing w:before="200" w:after="0"/>
        <w:jc w:val="center"/>
        <w:rPr>
          <w:rFonts w:ascii="Times New Roman" w:hAnsi="Times New Roman"/>
          <w:b/>
          <w:sz w:val="48"/>
        </w:rPr>
      </w:pPr>
      <w:r>
        <w:rPr>
          <w:rFonts w:ascii="Times New Roman" w:hAnsi="Times New Roman"/>
          <w:b/>
          <w:sz w:val="48"/>
        </w:rPr>
        <w:t xml:space="preserve">Legend Biotech Corporation </w:t>
      </w:r>
    </w:p>
    <w:p>
      <w:pPr>
        <w:pStyle w:val="TextBody"/>
        <w:bidi w:val="0"/>
        <w:spacing w:before="200" w:after="0"/>
        <w:jc w:val="center"/>
        <w:rPr>
          <w:rFonts w:ascii="Times New Roman" w:hAnsi="Times New Roman"/>
          <w:b/>
          <w:sz w:val="28"/>
        </w:rPr>
      </w:pPr>
      <w:r>
        <w:rPr>
          <w:rFonts w:ascii="Times New Roman" w:hAnsi="Times New Roman"/>
          <w:b/>
          <w:sz w:val="28"/>
        </w:rPr>
        <w:t xml:space="preserve">Ordinary Shares </w:t>
      </w:r>
    </w:p>
    <w:p>
      <w:pPr>
        <w:pStyle w:val="TextBody"/>
        <w:bidi w:val="0"/>
        <w:spacing w:before="0" w:after="0"/>
        <w:jc w:val="center"/>
        <w:rPr>
          <w:rFonts w:ascii="Times New Roman" w:hAnsi="Times New Roman"/>
          <w:b/>
          <w:sz w:val="28"/>
        </w:rPr>
      </w:pPr>
      <w:r>
        <w:rPr>
          <w:rFonts w:ascii="Times New Roman" w:hAnsi="Times New Roman"/>
          <w:b/>
          <w:sz w:val="28"/>
        </w:rPr>
        <w:t xml:space="preserve">American Depositary Shares representing Ordinary Shares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18"/>
        </w:rPr>
      </w:pPr>
      <w:r>
        <w:rPr>
          <w:rFonts w:ascii="Times New Roman" w:hAnsi="Times New Roman"/>
          <w:sz w:val="18"/>
        </w:rPr>
        <w:t xml:space="preserve">We may offer and sell ordinary shares, including ordinary shares represented by American depositary shares, or ADSs, debt securities or warrants in any combination from time to time in one or more offerings, at prices and on terms described in one or more supplements to this prospectus. In addition, this prospectus may be used to offer securities for the account of persons other than us. We or any selling shareholder may also offer American Depositary Shares, or ADSs, representing ordinary shares upon conversion of or exchange for the debt securities or upon the exercise of the warrants. </w:t>
      </w:r>
    </w:p>
    <w:p>
      <w:pPr>
        <w:pStyle w:val="TextBody"/>
        <w:bidi w:val="0"/>
        <w:spacing w:before="200" w:after="0"/>
        <w:jc w:val="left"/>
        <w:rPr>
          <w:rFonts w:ascii="Times New Roman" w:hAnsi="Times New Roman"/>
          <w:sz w:val="18"/>
        </w:rPr>
      </w:pPr>
      <w:r>
        <w:rPr>
          <w:rFonts w:ascii="Times New Roman" w:hAnsi="Times New Roman"/>
          <w:sz w:val="18"/>
        </w:rPr>
        <w:t xml:space="preserve">Each time we or any selling shareholder sell securities, we will provide the specific terms of any offering in one or more supplements to this prospectus. Any prospectus supplement may also add, update, or change information contained in this prospectus. You should carefully read this prospectus and the applicable prospectus supplement as well as the documents incorporated or deemed to be incorporated by reference in this prospectus and any accompanying prospectus supplement before you purchase any of the securities offered hereby. </w:t>
      </w:r>
    </w:p>
    <w:p>
      <w:pPr>
        <w:pStyle w:val="TextBody"/>
        <w:bidi w:val="0"/>
        <w:spacing w:before="200" w:after="0"/>
        <w:jc w:val="left"/>
        <w:rPr>
          <w:rFonts w:ascii="Times New Roman" w:hAnsi="Times New Roman"/>
          <w:sz w:val="18"/>
        </w:rPr>
      </w:pPr>
      <w:r>
        <w:rPr>
          <w:rFonts w:ascii="Times New Roman" w:hAnsi="Times New Roman"/>
          <w:sz w:val="18"/>
        </w:rPr>
        <w:t xml:space="preserve">We or any selling shareholder may sell the securities independently or together with any other securities registered hereunder to or through one or more underwriters, dealers and agents, or directly to purchasers, or through a combination of these methods, on a continuous or delayed basis. The names of any underwriters, dealers, or agents involved in the sale of our securities, their compensation and any over-allotment options held by them will be described in the applicable prospectus supplement. For a more complete description of the plan of distribution of these securities, see “Plan of Distribution” beginning on page 50 of this prospectus. </w:t>
      </w:r>
    </w:p>
    <w:p>
      <w:pPr>
        <w:pStyle w:val="TextBody"/>
        <w:bidi w:val="0"/>
        <w:spacing w:before="200" w:after="0"/>
        <w:jc w:val="left"/>
        <w:rPr>
          <w:rFonts w:ascii="Times New Roman" w:hAnsi="Times New Roman"/>
          <w:sz w:val="18"/>
        </w:rPr>
      </w:pPr>
      <w:r>
        <w:rPr>
          <w:rFonts w:ascii="Times New Roman" w:hAnsi="Times New Roman"/>
          <w:sz w:val="18"/>
        </w:rPr>
        <w:t xml:space="preserve">We are a “foreign private issuer” under applicable U.S. federal securities laws and are eligible for reduced public company reporting requirements. See “Our Company—Implications of Being a Foreign Private Issuer” for additional information. </w:t>
      </w:r>
    </w:p>
    <w:p>
      <w:pPr>
        <w:pStyle w:val="TextBody"/>
        <w:bidi w:val="0"/>
        <w:spacing w:before="200" w:after="0"/>
        <w:jc w:val="left"/>
        <w:rPr>
          <w:rFonts w:ascii="Times New Roman" w:hAnsi="Times New Roman"/>
          <w:sz w:val="18"/>
        </w:rPr>
      </w:pPr>
      <w:r>
        <w:rPr>
          <w:rFonts w:ascii="Times New Roman" w:hAnsi="Times New Roman"/>
          <w:sz w:val="18"/>
        </w:rPr>
        <w:t xml:space="preserve">Our ADSs are listed on the Nasdaq Global Select Market under the symbol “LEGN.” On March 18, 2024, the last reported sale price of the ADSs on the Nasdaq Global Select Market was $64.66 per ADS.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pPr>
      <w:r>
        <w:rPr>
          <w:rFonts w:ascii="Times New Roman" w:hAnsi="Times New Roman"/>
          <w:b/>
          <w:sz w:val="22"/>
        </w:rPr>
        <w:t>Investing in our securities involves risks. You should carefully consider the risks incorporated by reference under the heading “</w:t>
      </w:r>
      <w:hyperlink w:anchor="toc150521_4">
        <w:r>
          <w:rPr>
            <w:rStyle w:val="InternetLink"/>
            <w:rFonts w:ascii="Times New Roman" w:hAnsi="Times New Roman"/>
            <w:b/>
            <w:sz w:val="22"/>
          </w:rPr>
          <w:t>Risk Factors</w:t>
        </w:r>
      </w:hyperlink>
      <w:r>
        <w:rPr>
          <w:rFonts w:ascii="Times New Roman" w:hAnsi="Times New Roman"/>
          <w:b/>
          <w:sz w:val="22"/>
        </w:rPr>
        <w:t xml:space="preserve">” on page 11 of this prospectus, in any accompanying prospectus supplement or in the documents incorporated by reference into this prospectus or any accompanying prospectus supplement before making a decision to invest in our securities. </w:t>
      </w:r>
    </w:p>
    <w:p>
      <w:pPr>
        <w:pStyle w:val="TextBody"/>
        <w:bidi w:val="0"/>
        <w:spacing w:before="200" w:after="0"/>
        <w:jc w:val="left"/>
        <w:rPr>
          <w:rFonts w:ascii="Times New Roman" w:hAnsi="Times New Roman"/>
          <w:sz w:val="18"/>
        </w:rPr>
      </w:pPr>
      <w:r>
        <w:rPr>
          <w:rFonts w:ascii="Times New Roman" w:hAnsi="Times New Roman"/>
          <w:sz w:val="18"/>
        </w:rPr>
        <w:t xml:space="preserve">This prospectus may not be used to offer or sell any securities unless accompanied by a 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b/>
          <w:sz w:val="18"/>
        </w:rPr>
      </w:pPr>
      <w:r>
        <w:rPr>
          <w:rFonts w:ascii="Times New Roman" w:hAnsi="Times New Roman"/>
          <w:b/>
          <w:sz w:val="18"/>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18"/>
        </w:rPr>
      </w:pPr>
      <w:r>
        <w:rPr>
          <w:rFonts w:ascii="Times New Roman" w:hAnsi="Times New Roman"/>
          <w:b/>
          <w:sz w:val="18"/>
        </w:rPr>
        <w:t xml:space="preserve">The date of this prospectus is March 19,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oc1"/>
      <w:bookmarkEnd w:id="17"/>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4"/>
        <w:gridCol w:w="342"/>
        <w:gridCol w:w="96"/>
        <w:gridCol w:w="421"/>
        <w:gridCol w:w="62"/>
      </w:tblGrid>
      <w:tr>
        <w:trPr/>
        <w:tc>
          <w:tcPr>
            <w:tcW w:w="9284"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4"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5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50521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50521_2">
              <w:r>
                <w:rPr>
                  <w:rStyle w:val="InternetLink"/>
                  <w:rFonts w:ascii="Times New Roman" w:hAnsi="Times New Roman"/>
                  <w:sz w:val="20"/>
                </w:rPr>
                <w:t>CAUTIONARY STATEMENT FORWARD-LOOKING STATEMENTS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50521_3">
              <w:r>
                <w:rPr>
                  <w:rStyle w:val="InternetLink"/>
                  <w:rFonts w:ascii="Times New Roman" w:hAnsi="Times New Roman"/>
                  <w:sz w:val="20"/>
                </w:rPr>
                <w:t>PROSPECTUS SUMMARY</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50521_4">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50521_5">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50521_6">
              <w:r>
                <w:rPr>
                  <w:rStyle w:val="InternetLink"/>
                  <w:rFonts w:ascii="Times New Roman" w:hAnsi="Times New Roman"/>
                  <w:sz w:val="20"/>
                </w:rPr>
                <w:t>DESCRIPTION OF SHARE CAPITAL AND ARTICLES OF ASSOCIATION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50521_7">
              <w:r>
                <w:rPr>
                  <w:rStyle w:val="InternetLink"/>
                  <w:rFonts w:ascii="Times New Roman" w:hAnsi="Times New Roman"/>
                  <w:sz w:val="20"/>
                </w:rPr>
                <w:t>DESCRIPTION OF AMERICAN DEPOSITARY SHARES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50521_8">
              <w:r>
                <w:rPr>
                  <w:rStyle w:val="InternetLink"/>
                  <w:rFonts w:ascii="Times New Roman" w:hAnsi="Times New Roman"/>
                  <w:sz w:val="20"/>
                </w:rPr>
                <w:t>DESCRIPTION OF DEBT SECURITIES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39</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50521_9">
              <w:r>
                <w:rPr>
                  <w:rStyle w:val="InternetLink"/>
                  <w:rFonts w:ascii="Times New Roman" w:hAnsi="Times New Roman"/>
                  <w:sz w:val="20"/>
                </w:rPr>
                <w:t>DESCRIPTION OF WARRANTS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46</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50521_10">
              <w:r>
                <w:rPr>
                  <w:rStyle w:val="InternetLink"/>
                  <w:rFonts w:ascii="Times New Roman" w:hAnsi="Times New Roman"/>
                  <w:sz w:val="20"/>
                </w:rPr>
                <w:t>ENFORCEABILITY OF CIVIL LIABILITIES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47</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50521_11">
              <w:r>
                <w:rPr>
                  <w:rStyle w:val="InternetLink"/>
                  <w:rFonts w:ascii="Times New Roman" w:hAnsi="Times New Roman"/>
                  <w:sz w:val="20"/>
                </w:rPr>
                <w:t>TAXATION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49</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50521_12">
              <w:r>
                <w:rPr>
                  <w:rStyle w:val="InternetLink"/>
                  <w:rFonts w:ascii="Times New Roman" w:hAnsi="Times New Roman"/>
                  <w:sz w:val="20"/>
                </w:rPr>
                <w:t>SELLING SHAREHOLDERS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50</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50521_13">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51</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50521_14">
              <w:r>
                <w:rPr>
                  <w:rStyle w:val="InternetLink"/>
                  <w:rFonts w:ascii="Times New Roman" w:hAnsi="Times New Roman"/>
                  <w:sz w:val="20"/>
                </w:rPr>
                <w:t>LEGAL MATTERS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53</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50521_15">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53</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50521_16">
              <w:r>
                <w:rPr>
                  <w:rStyle w:val="InternetLink"/>
                  <w:rFonts w:ascii="Times New Roman" w:hAnsi="Times New Roman"/>
                  <w:sz w:val="20"/>
                </w:rPr>
                <w:t>WHERE YOU CAN FIND MORE INFORMATION ABOUT US</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54</w:t>
            </w:r>
          </w:p>
        </w:tc>
        <w:tc>
          <w:tcPr>
            <w:tcW w:w="62" w:type="dxa"/>
            <w:tcBorders/>
            <w:vAlign w:val="bottom"/>
          </w:tcPr>
          <w:p>
            <w:pPr>
              <w:pStyle w:val="TableContents"/>
              <w:bidi w:val="0"/>
              <w:spacing w:before="0" w:after="283"/>
              <w:jc w:val="left"/>
              <w:rPr/>
            </w:pPr>
            <w:r>
              <w:rPr/>
              <w:t> </w:t>
            </w:r>
          </w:p>
        </w:tc>
      </w:tr>
      <w:tr>
        <w:trPr/>
        <w:tc>
          <w:tcPr>
            <w:tcW w:w="9284" w:type="dxa"/>
            <w:tcBorders/>
            <w:vAlign w:val="bottom"/>
          </w:tcPr>
          <w:p>
            <w:pPr>
              <w:pStyle w:val="TableContents"/>
              <w:bidi w:val="0"/>
              <w:spacing w:before="0" w:after="0"/>
              <w:jc w:val="left"/>
              <w:rPr/>
            </w:pPr>
            <w:hyperlink w:anchor="toc150521_17">
              <w:r>
                <w:rPr>
                  <w:rStyle w:val="InternetLink"/>
                  <w:rFonts w:ascii="Times New Roman" w:hAnsi="Times New Roman"/>
                  <w:sz w:val="20"/>
                </w:rPr>
                <w:t>INCORPORATION OF DOCUMENTS BY REFERENCE</w:t>
              </w:r>
            </w:hyperlink>
          </w:p>
        </w:tc>
        <w:tc>
          <w:tcPr>
            <w:tcW w:w="3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right"/>
              <w:rPr/>
            </w:pPr>
            <w:r>
              <w:rPr/>
              <w:t>55</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toc150521_1"/>
      <w:bookmarkEnd w:id="18"/>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an “automatic shelf” registration statement on Form F-3 that we filed with the Securities and Exchange Commission, or SEC, as a “well-known seasoned issuer” as defined in Rule 405 under the Securities Act of 1933, as amended, or the Securities Act, utilizing a “shelf” registration process. Under this shelf registration process, we or selling shareholders may offer our ordinary shares, including ADSs representing our ordinary shares, debt securities and/or warrants either individually or in combination with other securities, in one or more offerings. There is no limit on the aggregate amount of the securities that we or selling shareholders may offer pursuant to the registration statement of which this prospectus is a part. This prospectus provides you with a general description of the securities we or selling shareholders may offer. </w:t>
      </w:r>
    </w:p>
    <w:p>
      <w:pPr>
        <w:pStyle w:val="TextBody"/>
        <w:bidi w:val="0"/>
        <w:spacing w:before="240" w:after="0"/>
        <w:jc w:val="left"/>
        <w:rPr>
          <w:rFonts w:ascii="Times New Roman" w:hAnsi="Times New Roman"/>
          <w:sz w:val="20"/>
        </w:rPr>
      </w:pPr>
      <w:r>
        <w:rPr>
          <w:rFonts w:ascii="Times New Roman" w:hAnsi="Times New Roman"/>
          <w:sz w:val="20"/>
        </w:rPr>
        <w:t xml:space="preserve">Each time we or selling shareholders offer to sell securities under this prospectus, we will provide a prospectus supplement that will contain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or in any documents that we have incorporated by reference into this prospectus. You should read this prospectus, any applicable prospectus supplement and any related free writing prospectus, together with the information incorporated herein by reference as described under the heading “Incorporation of Documents by Reference,” before investing in any of the securities offered.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or the context otherwise requires, all references in this prospectus to the terms “Legend,” “Legend Biotech,” “the Company,” “we,” “us” and “our” refer to Legend Biotech Corporation and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any selling shareholder, has authorized anyone to give any information or to make any representation other than those contained or incorporated by reference in this prospectus, any applicable prospectus supplement and any related free writing prospectus. You must not rely upon any information or representation not contained or incorporated by reference in this prospectus (as supplemented or amended), any applicable prospectus supplement or any related free writing prospectus as having been authorized by us. We and the selling shareholders are offering to sell, and seeking offers to buy, the securities only in jurisdictions where it is lawful to do so. This prospectus does not constitute an offer to sell or the solicitation of an offer to buy any securities other than the registered securities to which it relates, nor does this prospectus constitute an offer to sell or the solicitation of an offer to buy securities in any jurisdiction to any person to whom it is unlawful to make such offer or solicitation in such jurisdiction. </w:t>
      </w:r>
    </w:p>
    <w:p>
      <w:pPr>
        <w:pStyle w:val="TextBody"/>
        <w:bidi w:val="0"/>
        <w:spacing w:before="240" w:after="0"/>
        <w:jc w:val="left"/>
        <w:rPr>
          <w:rFonts w:ascii="Times New Roman" w:hAnsi="Times New Roman"/>
          <w:sz w:val="20"/>
        </w:rPr>
      </w:pPr>
      <w:r>
        <w:rPr>
          <w:rFonts w:ascii="Times New Roman" w:hAnsi="Times New Roman"/>
          <w:sz w:val="20"/>
        </w:rPr>
        <w:t xml:space="preserve">You should not assume that the information contained in this prospectus (as supplemented or amended),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(as supplemented or amended) is delivered, or securities are sold, on a later date. To the extent there is a conflict between the information contained in this prospectus, on the one hand, and the information contained in any document incorporated by reference filed with the SEC before the date of this prospectus, on the other hand, you should rely on the information in this prospectus. If any statement in a document incorporated by reference is inconsistent with a statement in another document incorporated by reference having a later date, the statement in the document having the later date modifies or supersedes the earlier statement. </w:t>
      </w:r>
    </w:p>
    <w:p>
      <w:pPr>
        <w:pStyle w:val="TextBody"/>
        <w:bidi w:val="0"/>
        <w:spacing w:before="240" w:after="0"/>
        <w:jc w:val="left"/>
        <w:rPr>
          <w:rFonts w:ascii="Times New Roman" w:hAnsi="Times New Roman"/>
          <w:sz w:val="20"/>
        </w:rPr>
      </w:pPr>
      <w:r>
        <w:rPr>
          <w:rFonts w:ascii="Times New Roman" w:hAnsi="Times New Roman"/>
          <w:sz w:val="20"/>
        </w:rPr>
        <w:t xml:space="preserve">We were incorporated as an exempted company under the laws of the Cayman Islands and a majority of our outstanding securities are owned by non-U.S. residents. Under the rules of the SEC, we are currently eligible for treatment as a “foreign private issuer.” As a foreign private issuer, we will not be required to file periodic reports and financial statements with the SEC as frequently or as promptly as domestic registrants whose securities are registered under the Securities Exchange Act of 1934, as amended, or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and the information incorporated herein by reference contains summaries of certain provisions contained in some of the documents described herein, but reference is made to the actual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and covenants were accurate only as of the date when made; therefore, such representations, warranties and covenants should not be relied on as accurate representations of the current state of our affairs. </w:t>
      </w:r>
    </w:p>
    <w:p>
      <w:pPr>
        <w:pStyle w:val="TextBody"/>
        <w:bidi w:val="0"/>
        <w:spacing w:before="240" w:after="0"/>
        <w:jc w:val="left"/>
        <w:rPr/>
      </w:pPr>
      <w:r>
        <w:rPr/>
        <w:t>“</w:t>
      </w:r>
      <w:r>
        <w:rPr>
          <w:rFonts w:ascii="Times New Roman" w:hAnsi="Times New Roman"/>
          <w:sz w:val="20"/>
        </w:rPr>
        <w:t xml:space="preserve">Legend Biotech,” the Legend logo and other trademarks or service marks of the Company appearing in this prospectus are the property of the Company. Solely for convenience, the trademarks, service marks and trade names referred to in this prospectus are without the ®,  and other similar symbols, but such references are not intended to indicate, in any way, that we will not assert, to the fullest extent under applicable law, our rights or the rights of the applicable licensors to these trademarks, service marks and trade names. CARVYKTI is a registered trademark in the United States of Johnson &amp; Johnson. Other trade names, trademarks and service marks of other companies appearing in this prospectus are the property of their respective holders. We do not intend our use or display of other companies’ trademarks, service marks or trade names to imply a relationship with, or endorsement or sponsorship of us by,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incorporated by reference in this prospectus have been prepared in accordance with the international financial reporting standards, as issued by the international accounting standards board, or the IASB. None of the financial information in this prospectus have been prepared in accordance with accounting principles generally accepted in the United States. </w:t>
      </w:r>
    </w:p>
    <w:p>
      <w:pPr>
        <w:pStyle w:val="TextBody"/>
        <w:bidi w:val="0"/>
        <w:spacing w:before="240" w:after="0"/>
        <w:jc w:val="left"/>
        <w:rPr>
          <w:rFonts w:ascii="Times New Roman" w:hAnsi="Times New Roman"/>
          <w:b/>
          <w:sz w:val="20"/>
        </w:rPr>
      </w:pPr>
      <w:r>
        <w:rPr>
          <w:rFonts w:ascii="Times New Roman" w:hAnsi="Times New Roman"/>
          <w:b/>
          <w:sz w:val="20"/>
        </w:rPr>
        <w:t xml:space="preserve">For investors outside the United States: We have not done anything that would permit the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securities described herein and the distribution of this prospectus outside the United States. </w:t>
      </w:r>
    </w:p>
    <w:p>
      <w:pPr>
        <w:pStyle w:val="TextBody"/>
        <w:bidi w:val="0"/>
        <w:spacing w:before="480" w:after="0"/>
        <w:jc w:val="center"/>
        <w:rPr>
          <w:rFonts w:ascii="Times New Roman" w:hAnsi="Times New Roman"/>
          <w:b/>
          <w:sz w:val="20"/>
        </w:rPr>
      </w:pPr>
      <w:r>
        <w:rPr>
          <w:rFonts w:ascii="Times New Roman" w:hAnsi="Times New Roman"/>
          <w:b/>
          <w:sz w:val="20"/>
        </w:rPr>
        <w:t xml:space="preserve">CONVENTIONS THAT APPLY 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this prospectus, unless otherwise indicated or unless the context otherwise requires,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ADSs” are to the American depositary shares, each of which represents two of our ordinary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ADRs” are to the American depositary receipts that evidence the ADSs;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China” or “PRC” refers to the People’s Republic of China, and solely in the context of describing PRC rules, laws, regulations and other legal and tax matters, excludes rules, laws, regulations and other legal and tax matters of the Hong Kong Special Administrative Region, the Macau Special Administrative Region and Taiwan, however, the legal and operational risks discussed by the Company with respect to operating in the PRC throughout this filing also apply to Hong Kong and Macau; “Greater China” does not exclude the Hong Kong Special Administrative Region, the Macau Special Administrative Region and Taiwan;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ordinary shares” are to ordinary shares of our company, par value $0.0001 per share;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US$,” “U.S. dollars,” “$,” or “dollars” are to the legal currency of the United States.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References in any prospectus supplement to “the accompanying prospectus” are to this prospectus and references to “the prospectus” are to this prospectus and the applicable prospectus supplement taken together. </w:t>
      </w:r>
    </w:p>
    <w:p>
      <w:pPr>
        <w:pStyle w:val="TextBody"/>
        <w:bidi w:val="0"/>
        <w:spacing w:before="240" w:after="0"/>
        <w:jc w:val="left"/>
        <w:rPr>
          <w:rFonts w:ascii="Times New Roman" w:hAnsi="Times New Roman"/>
          <w:sz w:val="20"/>
        </w:rPr>
      </w:pPr>
      <w:r>
        <w:rPr>
          <w:rFonts w:ascii="Times New Roman" w:hAnsi="Times New Roman"/>
          <w:sz w:val="20"/>
        </w:rPr>
        <w:t xml:space="preserve">We are not making an offer to sell the securities in any jurisdiction where the offer or sale is not permitted.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toc150521_2"/>
      <w:bookmarkEnd w:id="19"/>
      <w:r>
        <w:rPr>
          <w:rFonts w:ascii="Times New Roman" w:hAnsi="Times New Roman"/>
          <w:b/>
          <w:sz w:val="20"/>
        </w:rPr>
        <w:t xml:space="preserve">CAUTIONARY STATEMENT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the documents incorporated by reference and any free writing prospectus prepared by or on behalf of us or to which we have referred you contain “forward-looking statements” within the meaning of Section 27A of the Securities Act of 1933, as amended, or the Securities Act, and Section 21E of the Exchange Act. These statements are based on our management’s current beliefs, expectations and assumptions about future events, conditions and results and on information currently available to us. </w:t>
      </w:r>
    </w:p>
    <w:p>
      <w:pPr>
        <w:pStyle w:val="TextBody"/>
        <w:bidi w:val="0"/>
        <w:spacing w:before="240" w:after="0"/>
        <w:jc w:val="left"/>
        <w:rPr>
          <w:rFonts w:ascii="Times New Roman" w:hAnsi="Times New Roman"/>
          <w:sz w:val="20"/>
        </w:rPr>
      </w:pPr>
      <w:r>
        <w:rPr>
          <w:rFonts w:ascii="Times New Roman" w:hAnsi="Times New Roman"/>
          <w:sz w:val="20"/>
        </w:rPr>
        <w:t xml:space="preserve">In some cases, you can identify forward-looking statements by terminology such as “anticipate,” “believe,” “could,” “estimate,” “expects,” “intend,” “may,” “plan,” “potential,” “predict,” “project,” “should,” “will,” “would” or the negative or plural of those terms, and similar expressions intended to identify statements about the future, although not all forward-looking statements contain these words. These statements involve known and unknown risks, uncertainties and other factors that may cause our actual results, levels of activity, performance or achievements to be materially different from the information expressed or implied by these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Any statements in this prospectus, the documents incorporated by reference or any free writing prospectus prepared by or on behalf of us or to which we have referred you about our expectations, beliefs, plans, objectives, assumptions or future events or performance are not historical facts and are forward-looking statements. Forward-looking statements may include, without limitation, statements regarding: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effectively manufacture, market and sell CARVYKTI;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opportunity for and potential for commercial success of CARVYKTI;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effects of treatment with CARVYKTI and resulting regulatory investigations or label updates;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our clinical trials to demonstrate acceptable safety and efficacy of our product candidates, and other positive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progress and results of preclinical studies and clinical trials for product candidates we may develop, including statements regarding the timing of initiation and completion of studies or trials and related preparatory work, the period during which the results of the trials will become available, and our research and development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scope and likelihood of regulatory filings and approvals, including final regulatory approval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achieve specified milestones under our collaboration with Janssen Biotech, Inc., a Johnson &amp; Johnson company, (“Janssen”) for cilta-cel or under other collaboration and license agreements we have entered into;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develop and advance our current product candidates and programs into, and successfully complete,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manufacturing, commercialization, and marketing capabilities and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relating to commercializing our product candidates, if approved, including the geographic areas of focus and sales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need to hire additional personnel and our ability to attract, retain and motivate such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size of the market opportunity for our product candidates, including our estimates of the number of patients who suffer from the diseases we are targeting;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approval and use of our product candidates as first, second or subsequent lines of therapy or in combination with other drugs;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competitive position and the success of competing therapies that are or may become available;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estimates of the number of patients that we will enroll in our clinical trials;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beneficial characteristics, safety, efficacy and therapeutic effects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and maintain regulatory approval of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plans relating to the further development of our product candidates, including additional indications we may pursue;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intellectual property position, including the scope of protection we are able to establish and maintain for intellectual property rights covering product candidates we may develop, including the extensions of existing patent terms where available, the validity of intellectual property rights held by third parties, and our ability not to infringe, misappropriate or otherwise violate any third-party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continued reliance on third parties to conduct additional clinical trials of our product candidates, and for the manufacture of our product candidates for preclinical studies and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and negotiate favorable terms of, any collaboration, licensing or other arrangements that may be necessary or desirable to develop, manufacture or commercialize our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pricing and reimbursement of the product candidates we may develop,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about the prices and availability of labor, transportation and raw materials, including as a result of inflation, and our ability to obtain them in a timely manner;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exposure to and the potential impact of risks inherent in our foreign operations, including currency fluctuations, exchange controls and pricing restrictions;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and degree of market acceptance and clinical utility of our product candidates we may develop;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effectiveness of our key information technology systems, networks, processes or related controls or those of our service providers;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estimates regarding expenses, future revenue, capital requirements and needs for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financial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consistently maintain effective internal control over financial reporting;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tax laws and the resolution of tax contingencies resulting in additional tax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period over which we estimate our existing cash and cash equivalents will be sufficient to fund our future operating expenses and capital expenditure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United States or foreign laws and regulations on the Company’s operations, including the impact of tariffs;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epidemics and pandemics, rising inflation rates, geopolitical tensions, the failure and instability of financial institutions, or other world events’ disruptions on our business, including, without limitation, our ability to manage the demand, supply and operational challenges associated with the actual or perceived effects of such disruptions.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reflect our current views with respect to future events, are based on assumptions and are subject to risks and uncertainties. Given these risks and uncertainties, you should not place undue reliance on these forward-looking statements. We discuss many of these risks, uncertainties and other factors in greater detail under the heading “Risk Factors” in this prospectus, the applicable prospectus supplement, any related free writing prospectus, and under similar headings in our Annual Report on Form 20-F for the fiscal year ended December 31, 2023, or the 2023 Annual Report, as updated by our subsequent filings, which are incorporated by reference into this prospectus. As a result of these factors, we cannot assure you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forward-looking statements contained in this prospectus, the documents incorporated by reference or any free writing prospectus prepared by or on behalf of us or to which we have referred you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this prospectus (as supplemented or amended), the documents incorporated by reference or any free writing prospectus prepared by or on behalf of us or to which we have referred you completely and with the understanding that our actual future results may be materially different from what we expect. We qualify all of our forward-looking statements by these cautionary statements. </w:t>
      </w:r>
    </w:p>
    <w:p>
      <w:pPr>
        <w:pStyle w:val="TextBody"/>
        <w:bidi w:val="0"/>
        <w:spacing w:before="240" w:after="0"/>
        <w:jc w:val="left"/>
        <w:rPr>
          <w:rFonts w:ascii="Times New Roman" w:hAnsi="Times New Roman"/>
          <w:sz w:val="20"/>
        </w:rPr>
      </w:pPr>
      <w:r>
        <w:rPr>
          <w:rFonts w:ascii="Times New Roman" w:hAnsi="Times New Roman"/>
          <w:sz w:val="20"/>
        </w:rPr>
        <w:t xml:space="preserve">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20" w:name="toc150521_3"/>
      <w:bookmarkEnd w:id="20"/>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primarily a global, clinical-stage biopharmaceutical company engaged in the discovery, development, manufacturing and commercialization of novel cell therapies for oncology and other indications. Our team of approximately 1,800 employees in the United States, China and Europe, our differentiated technology, global development and manufacturing strategy and expertise provide us with the ability to generate, test and manufacture next-generation cell therapies targeting indications with high unmet needs. Our lead product candidate, ciltacabtagene autoleucel, or cilta-cel (referred to as LCAR- B38M for purposes of our LEGEND-2 trial), is a CAR-T cell therapy we are jointly developing with our strategic partner, Janssen, for the treatment of multiple myeloma. Clinical trial results achieved to date demonstrate that cilta-cel has the potential to deliver deep and durable anti-tumor responses in relapsed and refractory multiple myeloma patients with a manageable safety profile.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February 28, 2022, cilta-cel was approved by the U.S. Food and Drug Administration under the trademark CARVYKTI for the treatment of adults with relapsed or refractory multiple myeloma who have received four or more prior lines of therapy, including a proteasome inhibitor, an immunomodulatory agent, and an anti-CD38 monoclonal antibody. We have established a sales, marketing and operational infrastructure to support the launch of CARVYKTI in the United States.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Risk Factors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business is subject to numerous risks and uncertainties, including those highlighted in the section titled “Risk Factors” immediately following this prospectus summary and in the section “Item3.D-Risk Factors” of our 2023 Annual Report. Some of these risks are: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Risks Related to the Commercialization of CARVYKTI and Our Other Product Candidates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substantially dependent on the commercial success of CARVYKTI. If we are unable to successfully commercialize CARVYKTI or experience significant delays in doing so, our business will be materially harmed.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limited experience as a commercial company and the manufacture, marketing and sale of CARVYKTI or future products may be unsuccessful or have less success than anticipated.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commercial success of CARVYKTI, and of any future products, will depend upon the degree of market acceptance by physicians, third-party payors and others in the medical community.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market opportunities for our product or any future products are smaller than we believe they are, and if we are not able to successfully identify patients and achieve significant market share, our revenues may be adversely affected and our business may suffer.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side effects or other safety risks associated with CARVYKTI or any future products could limit the commercial profile of an approved label or result in significant negative consequences following marketing approval.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not be able to successfully create our own manufacturing infrastructure for supply of our requirements of products for use in clinical trials and for commercial sale.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limited sales experience and limited capabilities for marketing and market access. We expect to continue to invest significant financial and management resources to establish necessary capabilities and infrastructure to support our commercial needs. If we are unable to establish these commercial capabilities, we may be unable to generate sufficient revenue to sustain our business.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operate in a rapidly changing industry and face significant competition.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product liability risks. </w:t>
            </w:r>
          </w:p>
        </w:tc>
      </w:tr>
    </w:tbl>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Risks Related to Our Business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become and remain profitable may never be achieved due to the uncertainty of developing and commercializing complex therapies, and we may never achieve or maintain profitability.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limited operating history, which has focused on research and development, makes it difficult to assess our future prospects.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need for additional funding to complete the development of our product candidates, which may not be available on acceptable terms, if at all.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inability to obtain or manufacture raw materials or key starting materials necessary for product manufacture, such as lentiviral vectors, would adversely affect the clinical development and commercialization of these products, which could, in turn, adversely affect our sales and profitability. </w:t>
            </w:r>
          </w:p>
        </w:tc>
      </w:tr>
    </w:tbl>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Risks Related to the Development of Our Product Candidates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uncertainties of the biopharmaceutical development process for novel and emergent treatment, including the uncertainty of outcomes of clinical trials, and the potential failure of product candidates to show safety or efficacy.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failure to obtain or maintain regulatory approvals for our product candidates.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primary research and development efforts are focused on cell therapies, including chimeric antigen receptor T cell therapies and chimeric antigen receptor natural killer cell therapies, which are emerging treatments that face significant challenges and hurdles.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product candidates require significant preclinical study and clinical trials, which can be difficult to design and implement.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side effects or other safety risks associated with our product candidates could delay or preclude approval, cause us to suspend or discontinue clinical trials, cause us to abandon product candidates, limit the commercial profile of an approved label or result in significant negative consequences following marketing approval.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dependence on enrollment of patients in clinical trials for development of our product candidates.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investigator-initiated clinical trials and studies that we do not fully control.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product opportunities may face limited market opportunities.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Costs and difficulties in the manufacture of complex cell therapies. </w:t>
            </w:r>
          </w:p>
        </w:tc>
      </w:tr>
    </w:tbl>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Risks Related to Our Business Operations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Economic, political, regulatory and other risks associated with international operations.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 difficulties in growing operations and attracting and retaining key personnel.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potential acquisitions or strategic collaborations.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Dependence on information technology systems.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failure to comply with various governmental laws and regulations may adversely affect our business.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any failure to implement and maintain effective internal controls over financial reporting. </w:t>
            </w:r>
          </w:p>
        </w:tc>
      </w:tr>
    </w:tbl>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Risks Related to our Dependence on Third Parties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dependence on third parties, such as Janssen, for development, manufacturing and commercialization of our product candidates.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reliance on third parties to conduct our preclinical and clinical trials and the potential that such third parties may not perform satisfactorily.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reagents, specialized equipment and other specialty materials. </w:t>
            </w:r>
          </w:p>
        </w:tc>
      </w:tr>
    </w:tbl>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Risks Related to Regulatory Approval of Our Product Candidates and Other Legal Compliance Matters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risks and costs associated with complying with a rigorous, complex and evolving regulatory framework, including clinical trial regulations, pre-marketing regulatory requirements, pricing, reimbursement and cost-containment regulations, and ongoing regulation of approved products.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price controls in certain jurisdictions on our revenue and commercialization. </w:t>
            </w:r>
          </w:p>
        </w:tc>
      </w:tr>
    </w:tbl>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Risks Related to Our Intellectual Property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maintain, defend and enforce intellectual property rights in our products and disparities and uncertainties in intellectual property rights throughout the world.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third party intellectual property rights, including the significant cost and complexity associated with intellectual property proceedings. </w:t>
            </w:r>
          </w:p>
        </w:tc>
      </w:tr>
    </w:tbl>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Risks Related to Doing Business in China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doing business in China, including the impact of extensive Chinese regulation on the pharmaceutical industry.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heightened level of government involvement in the Chinese economy and uncertainties regarding legal protections in the PRC legal system.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PRC governmental authorities may take measures having influence on our operations, which could result in a material change in our operations and significantly and adversely impact the value of our ADSs.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PRC regulation of loans and direct investment by offshore holding companies to PRC entities may delay or prevent us from making loans or additional capital contributions to our PRC operating subsidiaries.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PRC government may exert more control over offerings conducted outside the PRC and/or investment by non-PRC investors in issuers with operations in China, which could materially and adversely affect our operations in the PRC, and could significantly limit, delay or hinder our ability to offer or continue to offer securities to investors, or cause the value of such securities to significantly decline. For example, the approval of, or filing or other procedures with, the CSRC or other governmental authority may be required in connection with issuing our equity securities outside of the PRC under Chinese law, and, if required, we cannot predict whether we will be able, or how long it will take us, to obtain such approval or complete such filing or other procedures.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PRC regulations relating to offshore investment activities by PRC residents and enterprises may increase our administrative burden and restrict our non-PRC and cross-border investment activity.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Monetary, economic, political, environmental, social, and trade disputes between the U.S. and China.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heightened level of actions by the U.S. government in targeting Chinese companies and, in the biotech industry, the U.S. government seeking to implement heightened supply chain security for sourcing from China and limitations on the transfer of technology to recipients within China. </w:t>
            </w:r>
          </w:p>
        </w:tc>
      </w:tr>
    </w:tbl>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Risks Related to Our Organizational Structure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organizational structure may create significant conflicts of interest.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GenScript Biotech Corporation’s, or GenScript, significant control over us as our largest shareholder.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more limited protections afforded to shareholders as a result of our status as a foreign private issuer. </w:t>
            </w:r>
          </w:p>
        </w:tc>
      </w:tr>
    </w:tbl>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Risks Related to Our Securities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owning our ADSs, including volatility in our trading price due to our business and financial performance, potential tax consequences and risks from dilution of our ADSs and ordinary shares if we issue additional ADSs or other securities.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an exempted company incorporated in the Cayman Islands with limited liability. We commenced our operations in China in November 2014 as a wholly owned subsidiary of GenScript. In May 2015, we incorporated Legend Biotech Corporation under the laws of the Cayman Islands, which became our ultimate holding company through a series of transactions.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offices are located at 2101 Cottontail Lane, Somerset, New Jersey 08873. Our telephone number at this address is (732) 317-5050. Our registered office in the Cayman Islands is located at 4th Floor, Harbour Place, 103 South Church Street, P.O. Box 10240, Grand Cayman KY1-1002, Cayman Islands. Investors should submit any inquiries to the address and telephone number of our principal executive offices set forth above.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main website is www.legendbiotech.com. The information contained on this website is not a part of this prospectus.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 Foreign Private Issuer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“foreign private issuer,” as defined by the SEC. As a result, in accordance with Nasdaq rules, we comply with home country governance requirements and certain exemptions thereunder rather than complying with Nasdaq corporate governance standards. While we expect to voluntarily follow most Nasdaq corporate governance rules, we may choose to take advantage of the following limited exemptions: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exemption from filing quarterly reports on Form 10-Q containing unaudited financial and other specified information or current reports on Form 8-K upon the occurrence of specified significant events;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exemption from Section 16 rules requiring insiders to file public reports of their securities ownership and trading activities and providing for liability for insiders who profit from trades in a short period of time;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exemption for the Nasdaq listing rules applicable to domestic issuers requiring disclosure within four business days of any determination to grant a waiver of the code of business conduct and ethics to directors and officers;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exemption from the requirement to obtain shareholder approval for certain issuances of securities, including shareholder approval of share option plans;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exemption from the requirement that our audit committee have review and oversight responsibilities over all “related party transactions,” as defined in Item 7.B. of Form 20-F;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exemption from the requirement that our board have a compensation committee that is composed entirely of independent directors with a written charter addressing the committee’s purpose and responsibilities;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Exemption from the requirements that director nominees are selected, or recommended for selection by our board of directors, either by (1) independent directors constituting a majority of our board of directors’ independent directors in a vote in which only independent directors participate, or (2) a committee comprised solely of independent directors, and that a formal written charter or board resolution, as applicable, addressing the nominations process is adopted.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currently rely on foreign private issuer exemptions to Nasdaq Rules 5605(d) and 5605(e), as currently only two of the three members of each of our compensation committee and nominating and corporate governance committee are independent directors. Additionally, we may in the future rely on additional foreign private issuer exemptions, including exemptions allowing for less than a majority of our board of directors to consist of independent directors, and so fewer board members would be exercising independent judgment and the level of board oversight on the management of our company may decrease as a result. The foreign private issuer exemptions do not modify the independence requirements for the audit committee.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1" w:name="toc150521_4"/>
      <w:bookmarkEnd w:id="21"/>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a high degree of risk. You should carefully review the risks and uncertainties described under the heading “Risk Factors” in Item 3.D. to the 2023 Annual Report incorporated by reference in this prospectus, as the same may be amended, supplemented or superseded by the risks and uncertainties described under similar headings in the applicable prospectus supplement and other documents that filed after the date hereof and incorporated by reference into this prospectus and any accompanying prospectus supplement, before deciding whether to purchase any of the securities being offered. Each of the risk factors could adversely affect our business, operating results and financial condition, as well as adversely affect the value of an investment in our securities, and the occurrence of any of these risks might cause you to lose all or part of your investment. Additional risks not presently known to us or that we currently believe are immaterial may also significantly impair our business operations. </w:t>
      </w:r>
    </w:p>
    <w:p>
      <w:pPr>
        <w:pStyle w:val="TextBody"/>
        <w:bidi w:val="0"/>
        <w:spacing w:before="240" w:after="0"/>
        <w:jc w:val="left"/>
        <w:rPr>
          <w:rFonts w:ascii="Times New Roman" w:hAnsi="Times New Roman"/>
          <w:sz w:val="20"/>
        </w:rPr>
      </w:pPr>
      <w:r>
        <w:rPr>
          <w:rFonts w:ascii="Times New Roman" w:hAnsi="Times New Roman"/>
          <w:sz w:val="20"/>
        </w:rPr>
        <w:t xml:space="preserve">Please see “Where You Can Find More Information” and “Incorporation of Documents by Reference” for information on where you can find the documents we have filed with or furnished to the SEC and which are incorporated into this prospectus by reference.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toc150521_5"/>
      <w:bookmarkEnd w:id="22"/>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in the applicable prospectus supplement or in any free writing prospectus that we may authorized to be provided to you in connection with a specific offering, we intend to use any net proceeds from the sale of securities under this prospectus to fund activities relating to the continued research and clinical development, manufacture or commercialization of our product candidates and for other general corporate purposes, including, but not limited to, working capital, capital expenditures, investments, acquisitions, should we choose to pursue any, and collaborations. We have not determined the amounts we plan to spend on any of the areas listed above or the timing of these expenditures. As a result, our management will have broad discretion to allocate the net proceeds, if any, we receive in connection with securities offered pursuant to this prospectus for any purpose. Pending application of the net proceeds as described above, we may initially invest the net proceeds in short-term, investment-grade and interest-bearing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toc150521_6"/>
      <w:bookmarkEnd w:id="23"/>
      <w:r>
        <w:rPr>
          <w:rFonts w:ascii="Times New Roman" w:hAnsi="Times New Roman"/>
          <w:b/>
          <w:sz w:val="20"/>
        </w:rPr>
        <w:t xml:space="preserve">DESCRIPTION OF SHARE CAPITAL AND ARTICLES OF ASSOCIATION </w:t>
      </w:r>
    </w:p>
    <w:p>
      <w:pPr>
        <w:pStyle w:val="TextBody"/>
        <w:bidi w:val="0"/>
        <w:spacing w:before="240" w:after="0"/>
        <w:jc w:val="left"/>
        <w:rPr>
          <w:rFonts w:ascii="Times New Roman" w:hAnsi="Times New Roman"/>
          <w:sz w:val="20"/>
        </w:rPr>
      </w:pPr>
      <w:r>
        <w:rPr>
          <w:rFonts w:ascii="Times New Roman" w:hAnsi="Times New Roman"/>
          <w:sz w:val="20"/>
        </w:rPr>
        <w:t xml:space="preserve">We are a Cayman Islands exempted company incorporated with limited liability and our affairs are governed by our Third Amended and Restated Memorandum and Articles of Association, or our Memorandum and Articles, the Companies Act (as amended) of the Cayman Islands, which we refer to as the Companies Act below and the common law by the Cayman Islands.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this prospectus, our authorized share capital is $200,000 divided into 2,000,000,000 shares, of which (i) 1,999,000,000 are designated as ordinary shares of a par value of $0.0001 each and (ii) 1,000,000 of such class or classes (however designated) of shares, par value $0.0001 each, as our board of directors may determine in accordance with our Memorandum and Articles. All of our issued and outstanding ordinary shares are fully paid. </w:t>
      </w:r>
    </w:p>
    <w:p>
      <w:pPr>
        <w:pStyle w:val="TextBody"/>
        <w:bidi w:val="0"/>
        <w:spacing w:before="240" w:after="0"/>
        <w:jc w:val="left"/>
        <w:rPr>
          <w:rFonts w:ascii="Times New Roman" w:hAnsi="Times New Roman"/>
          <w:sz w:val="20"/>
        </w:rPr>
      </w:pPr>
      <w:r>
        <w:rPr>
          <w:rFonts w:ascii="Times New Roman" w:hAnsi="Times New Roman"/>
          <w:sz w:val="20"/>
        </w:rPr>
        <w:t xml:space="preserve">As of December 31, 2023, we had 363,822,069 ordinary shares issued and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Limitations, Qualifications, and Differences Between Classes of Shares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may, without further action by our shareholders, fix the rights, preferences, privileges, and restrictions of up to an aggregate of 1,000,000 other shares, including preference shares, in one or more classes or series and authorize their issuance.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our ordinary shares. The issuance of our other shares, including potentially preference shares, could adversely affect the voting power of holders of ADSs and the likelihood that such holders will receive dividend payments and payments upon liquidation. In addition, the issuance of other shares, including preference shares, could have the effect of delaying, deferring, or preventing a change of control or other corporate action. We have no present plan to issue any preference shares. </w:t>
      </w:r>
    </w:p>
    <w:p>
      <w:pPr>
        <w:pStyle w:val="TextBody"/>
        <w:bidi w:val="0"/>
        <w:spacing w:before="360" w:after="0"/>
        <w:jc w:val="left"/>
        <w:rPr>
          <w:rFonts w:ascii="Times New Roman" w:hAnsi="Times New Roman"/>
          <w:b/>
          <w:sz w:val="20"/>
        </w:rPr>
      </w:pPr>
      <w:r>
        <w:rPr>
          <w:rFonts w:ascii="Times New Roman" w:hAnsi="Times New Roman"/>
          <w:b/>
          <w:sz w:val="20"/>
        </w:rPr>
        <w:t xml:space="preserve">Rights of Other Types of Securities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Rights of Ordinary Shares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are summaries of material provisions of our Memorandum and Articles, and of the Companies Act, insofar as they relate to the material terms of our ordinary shares. </w:t>
      </w:r>
    </w:p>
    <w:p>
      <w:pPr>
        <w:pStyle w:val="TextBody"/>
        <w:bidi w:val="0"/>
        <w:spacing w:before="240" w:after="0"/>
        <w:jc w:val="left"/>
        <w:rPr>
          <w:rFonts w:ascii="Times New Roman" w:hAnsi="Times New Roman"/>
          <w:sz w:val="20"/>
        </w:rPr>
      </w:pPr>
      <w:r>
        <w:rPr>
          <w:rFonts w:ascii="Times New Roman" w:hAnsi="Times New Roman"/>
          <w:i/>
          <w:sz w:val="20"/>
        </w:rPr>
        <w:t>Objects of Our Company.</w:t>
      </w:r>
      <w:r>
        <w:rPr>
          <w:rFonts w:ascii="Times New Roman" w:hAnsi="Times New Roman"/>
          <w:sz w:val="20"/>
        </w:rPr>
        <w:t xml:space="preserve"> Under our Memorandum and Articles, the objects of our company are unrestricted and we have the full power and authority to carry out any object not prohibited by the law of the Cayman Islands. </w:t>
      </w:r>
    </w:p>
    <w:p>
      <w:pPr>
        <w:pStyle w:val="TextBody"/>
        <w:bidi w:val="0"/>
        <w:spacing w:before="240" w:after="0"/>
        <w:jc w:val="left"/>
        <w:rPr>
          <w:rFonts w:ascii="Times New Roman" w:hAnsi="Times New Roman"/>
          <w:sz w:val="20"/>
        </w:rPr>
      </w:pPr>
      <w:r>
        <w:rPr>
          <w:rFonts w:ascii="Times New Roman" w:hAnsi="Times New Roman"/>
          <w:i/>
          <w:sz w:val="20"/>
        </w:rPr>
        <w:t>Ordinary Shares.</w:t>
      </w:r>
      <w:r>
        <w:rPr>
          <w:rFonts w:ascii="Times New Roman" w:hAnsi="Times New Roman"/>
          <w:sz w:val="20"/>
        </w:rPr>
        <w:t xml:space="preserve"> Our ordinary shares are issued in registered form and are issued when registered in our register of shareholders. We may not issue shares to bearer. Our shareholders who are nonresidents of the Cayman Islands may freely hold and vote their shares. </w:t>
      </w:r>
    </w:p>
    <w:p>
      <w:pPr>
        <w:pStyle w:val="TextBody"/>
        <w:bidi w:val="0"/>
        <w:spacing w:before="360" w:after="0"/>
        <w:jc w:val="left"/>
        <w:rPr>
          <w:rFonts w:ascii="Times New Roman" w:hAnsi="Times New Roman"/>
          <w:b/>
          <w:sz w:val="20"/>
        </w:rPr>
      </w:pPr>
      <w:r>
        <w:rPr>
          <w:rFonts w:ascii="Times New Roman" w:hAnsi="Times New Roman"/>
          <w:b/>
          <w:sz w:val="20"/>
        </w:rPr>
        <w:t xml:space="preserve">Our Amended and Restated Memorandum and Articles of Association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are summaries of material provisions of our Memorandum and Articles, and of the Companies Act, insofar as they relate to the material terms of our ordinary shares. </w:t>
      </w:r>
    </w:p>
    <w:p>
      <w:pPr>
        <w:pStyle w:val="TextBody"/>
        <w:bidi w:val="0"/>
        <w:spacing w:before="240" w:after="0"/>
        <w:jc w:val="left"/>
        <w:rPr>
          <w:rFonts w:ascii="Times New Roman" w:hAnsi="Times New Roman"/>
          <w:sz w:val="20"/>
        </w:rPr>
      </w:pPr>
      <w:r>
        <w:rPr>
          <w:rFonts w:ascii="Times New Roman" w:hAnsi="Times New Roman"/>
          <w:i/>
          <w:sz w:val="20"/>
        </w:rPr>
        <w:t>Objects of Our Company.</w:t>
      </w:r>
      <w:r>
        <w:rPr>
          <w:rFonts w:ascii="Times New Roman" w:hAnsi="Times New Roman"/>
          <w:sz w:val="20"/>
        </w:rPr>
        <w:t xml:space="preserve"> Under our Memorandum and Articles, the objects of our company are unrestricted and we have the full power and authority to carry out any object not prohibited by the law of the Cayman Islands.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Ordinary Shares.</w:t>
      </w:r>
      <w:r>
        <w:rPr>
          <w:rFonts w:ascii="Times New Roman" w:hAnsi="Times New Roman"/>
          <w:sz w:val="20"/>
        </w:rPr>
        <w:t xml:space="preserve"> Our ordinary shares are issued in registered form and are issued when registered in our register of shareholders. We may not issue shares to bearer. Our shareholders who are nonresidents of the Cayman Islands may freely hold and vote their shares. </w:t>
      </w:r>
    </w:p>
    <w:p>
      <w:pPr>
        <w:pStyle w:val="TextBody"/>
        <w:bidi w:val="0"/>
        <w:spacing w:before="240" w:after="0"/>
        <w:jc w:val="left"/>
        <w:rPr>
          <w:rFonts w:ascii="Times New Roman" w:hAnsi="Times New Roman"/>
          <w:sz w:val="20"/>
        </w:rPr>
      </w:pPr>
      <w:r>
        <w:rPr>
          <w:rFonts w:ascii="Times New Roman" w:hAnsi="Times New Roman"/>
          <w:i/>
          <w:sz w:val="20"/>
        </w:rPr>
        <w:t>Dividends.</w:t>
      </w:r>
      <w:r>
        <w:rPr>
          <w:rFonts w:ascii="Times New Roman" w:hAnsi="Times New Roman"/>
          <w:sz w:val="20"/>
        </w:rPr>
        <w:t xml:space="preserve"> The holders of our ordinary shares are entitled to such dividends as may be declared by our board of directors. In addition, our shareholders may declare dividends by ordinary resolution, but no dividend shall exceed the amount recommended by our directors. Our Memorandum and Articles provide that the directors may, before recommending or declaring any dividend, set aside out of the funds legally available for distribution such sums as they think proper as a reserve or reserves which shall, in the absolute discretion of the directors, be applicable for meeting contingencies or for equalizing dividends or for any other purpose to which those funds may be properly applied and pending such application may in the absolute discretion of the directors, either be employed in the business of the company or be invested in such investments (other than shares of the company) as the directors may from time to time think fit. Under the law of the Cayman Islands, our company may pay a dividend out of either profit or the credit standing in our company’s share premium account, provided that in no circumstances may a dividend be paid if this would result in our company being unable to pay its debts as they fall due in the ordinary course of business immediately following the date on which the distribution or dividend is paid. No dividend shall bear interest against the company. </w:t>
      </w:r>
    </w:p>
    <w:p>
      <w:pPr>
        <w:pStyle w:val="TextBody"/>
        <w:bidi w:val="0"/>
        <w:spacing w:before="240" w:after="0"/>
        <w:jc w:val="left"/>
        <w:rPr>
          <w:rFonts w:ascii="Times New Roman" w:hAnsi="Times New Roman"/>
          <w:sz w:val="20"/>
        </w:rPr>
      </w:pPr>
      <w:r>
        <w:rPr>
          <w:rFonts w:ascii="Times New Roman" w:hAnsi="Times New Roman"/>
          <w:i/>
          <w:sz w:val="20"/>
        </w:rPr>
        <w:t>Voting Rights.</w:t>
      </w:r>
      <w:r>
        <w:rPr>
          <w:rFonts w:ascii="Times New Roman" w:hAnsi="Times New Roman"/>
          <w:sz w:val="20"/>
        </w:rPr>
        <w:t xml:space="preserve"> Holders of our ordinary shares shall be entitled to one vote per ordinary share held by such holder of ordinary shares. Voting at any shareholders’ meeting is by show of hands unless a poll is demanded (before or on the declaration of the result of the show of hands). A poll may be demanded by the chairman of such meeting or any one or more shareholders which are present in person or by proxy at the meeting. </w:t>
      </w:r>
    </w:p>
    <w:p>
      <w:pPr>
        <w:pStyle w:val="TextBody"/>
        <w:bidi w:val="0"/>
        <w:spacing w:before="240" w:after="0"/>
        <w:jc w:val="left"/>
        <w:rPr>
          <w:rFonts w:ascii="Times New Roman" w:hAnsi="Times New Roman"/>
          <w:sz w:val="20"/>
        </w:rPr>
      </w:pPr>
      <w:r>
        <w:rPr>
          <w:rFonts w:ascii="Times New Roman" w:hAnsi="Times New Roman"/>
          <w:sz w:val="20"/>
        </w:rPr>
        <w:t xml:space="preserve">An ordinary resolution to be passed at a meeting by the shareholders requires the affirmative vote of a simple majority of the votes attaching to the ordinary shares cast at a meeting, while a special resolution requires the affirmative vote of no less than two-thirds of the votes cast attaching to the outstanding ordinary shares at a meeting. A special resolution will be required for important matters such as a change of name or making changes to our Memorandum and Articles. Holders of the ordinary shares may, among other things, divide or combine their shares by ordinary resolution. </w:t>
      </w:r>
    </w:p>
    <w:p>
      <w:pPr>
        <w:pStyle w:val="TextBody"/>
        <w:bidi w:val="0"/>
        <w:spacing w:before="240" w:after="0"/>
        <w:jc w:val="left"/>
        <w:rPr>
          <w:rFonts w:ascii="Times New Roman" w:hAnsi="Times New Roman"/>
          <w:sz w:val="20"/>
        </w:rPr>
      </w:pPr>
      <w:r>
        <w:rPr>
          <w:rFonts w:ascii="Times New Roman" w:hAnsi="Times New Roman"/>
          <w:i/>
          <w:sz w:val="20"/>
        </w:rPr>
        <w:t>General Meetings of Shareholders.</w:t>
      </w:r>
      <w:r>
        <w:rPr>
          <w:rFonts w:ascii="Times New Roman" w:hAnsi="Times New Roman"/>
          <w:sz w:val="20"/>
        </w:rPr>
        <w:t xml:space="preserve"> As a Cayman Islands exempted company, we are not obliged by the Companies Act to call shareholders’ annual general meetings. Our Memorandum and Articles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 </w:t>
      </w:r>
    </w:p>
    <w:p>
      <w:pPr>
        <w:pStyle w:val="TextBody"/>
        <w:bidi w:val="0"/>
        <w:spacing w:before="240" w:after="0"/>
        <w:jc w:val="left"/>
        <w:rPr>
          <w:rFonts w:ascii="Times New Roman" w:hAnsi="Times New Roman"/>
          <w:sz w:val="20"/>
        </w:rPr>
      </w:pPr>
      <w:r>
        <w:rPr>
          <w:rFonts w:ascii="Times New Roman" w:hAnsi="Times New Roman"/>
          <w:sz w:val="20"/>
        </w:rPr>
        <w:t xml:space="preserve">Shareholders’ general meetings may be convened by the chairman or a majority of our board of directors or on request of the shareholders holding at the date of deposit of such request in aggregate not less than one-third of the aggregate number of votes attaching to all issued and outstanding shares of the company as at the date of the deposit. Advance notice of at least ten calendar days is required for the convening of our annual general shareholders’ meeting (if any) and any other general meeting of our shareholders. Every notice shall be exclusive of the day on which it is given or deemed to be given and of the day for which it is given. At least two holders of shares being not less than an aggregate of fifty percent (50%) of all votes attaching to all shares in issue and entitled to vote present in person or by proxy shall be a quorum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The Companies Act provides shareholders with only limited rights to requisition a general meeting, and does not provide shareholders with any right to put any proposal before a general meeting. However, these rights may be provided in a company’s articles of association. Our Memorandum and Articles provide that upon the requisition of shareholders representing in aggregate not less than one-third of the votes attaching to the issued and outstanding shares of our company entitled to vote at general meetings, our board will convene an extraordinary general meeting and put the resolutions so requisitioned to a vote at such meeting. Shareholders seeking to bring business before the annual general meeting or to nominate candidates for election to our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directors at the annual general meeting are required to deliver notice not later than the 90th day nor earlier than the 120th day prior to the scheduled date of the annual general meeting. </w:t>
      </w:r>
    </w:p>
    <w:p>
      <w:pPr>
        <w:pStyle w:val="TextBody"/>
        <w:bidi w:val="0"/>
        <w:spacing w:before="240" w:after="0"/>
        <w:jc w:val="left"/>
        <w:rPr>
          <w:rFonts w:ascii="Times New Roman" w:hAnsi="Times New Roman"/>
          <w:sz w:val="20"/>
        </w:rPr>
      </w:pPr>
      <w:r>
        <w:rPr>
          <w:rFonts w:ascii="Times New Roman" w:hAnsi="Times New Roman"/>
          <w:i/>
          <w:sz w:val="20"/>
        </w:rPr>
        <w:t>Liquidation.</w:t>
      </w:r>
      <w:r>
        <w:rPr>
          <w:rFonts w:ascii="Times New Roman" w:hAnsi="Times New Roman"/>
          <w:sz w:val="20"/>
        </w:rPr>
        <w:t xml:space="preserve"> On the winding up of our company, if the assets available for distribution amongst our shareholders shall be more 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the whole of the share capital, the assets will be distributed so that the losses are borne by our shareholders in proportion to the par value of the shares held by them. </w:t>
      </w:r>
    </w:p>
    <w:p>
      <w:pPr>
        <w:pStyle w:val="TextBody"/>
        <w:bidi w:val="0"/>
        <w:spacing w:before="240" w:after="0"/>
        <w:jc w:val="left"/>
        <w:rPr>
          <w:rFonts w:ascii="Times New Roman" w:hAnsi="Times New Roman"/>
          <w:sz w:val="20"/>
        </w:rPr>
      </w:pPr>
      <w:r>
        <w:rPr>
          <w:rFonts w:ascii="Times New Roman" w:hAnsi="Times New Roman"/>
          <w:i/>
          <w:sz w:val="20"/>
        </w:rPr>
        <w:t>Calls on Shares and Forfeiture of Shares.</w:t>
      </w:r>
      <w:r>
        <w:rPr>
          <w:rFonts w:ascii="Times New Roman" w:hAnsi="Times New Roman"/>
          <w:sz w:val="20"/>
        </w:rPr>
        <w:t xml:space="preserve"> Our board of directors may from time to time make calls upon shareholders for any amounts unpaid on their shares in a notice served to such shareholders at least 14 days prior to the specified time and place of payment. The shares that have been called upon and remain unpaid are subject to forfeiture. A call shall be deemed to have been made at the time when the resolution of the board of directors authorizing such call was passed. </w:t>
      </w:r>
    </w:p>
    <w:p>
      <w:pPr>
        <w:pStyle w:val="TextBody"/>
        <w:bidi w:val="0"/>
        <w:spacing w:before="240" w:after="0"/>
        <w:jc w:val="left"/>
        <w:rPr>
          <w:rFonts w:ascii="Times New Roman" w:hAnsi="Times New Roman"/>
          <w:sz w:val="20"/>
        </w:rPr>
      </w:pPr>
      <w:r>
        <w:rPr>
          <w:rFonts w:ascii="Times New Roman" w:hAnsi="Times New Roman"/>
          <w:i/>
          <w:sz w:val="20"/>
        </w:rPr>
        <w:t>Redemption, Repurchase and Surrender of Shares.</w:t>
      </w:r>
      <w:r>
        <w:rPr>
          <w:rFonts w:ascii="Times New Roman" w:hAnsi="Times New Roman"/>
          <w:sz w:val="20"/>
        </w:rPr>
        <w:t xml:space="preserve"> Our ordinary shares are not subject to redemption by operation of a sinking fund or otherwise. We may issue shares on terms that such shares are subject to redemption, at our option or at the option of the holders of these shares, on such terms and in such manner as may be determined by our board of directors. We may also repurchase any of our shares (including any redeemable shares) on such terms and in such manner as have been approved by our board of directors or by an ordinary resolution of our shareholders. Under the Companies Act, the redemption or repurchase of any share may be paid out of our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 </w:t>
      </w:r>
    </w:p>
    <w:p>
      <w:pPr>
        <w:pStyle w:val="TextBody"/>
        <w:bidi w:val="0"/>
        <w:spacing w:before="240" w:after="0"/>
        <w:jc w:val="left"/>
        <w:rPr>
          <w:rFonts w:ascii="Times New Roman" w:hAnsi="Times New Roman"/>
          <w:sz w:val="20"/>
        </w:rPr>
      </w:pPr>
      <w:r>
        <w:rPr>
          <w:rFonts w:ascii="Times New Roman" w:hAnsi="Times New Roman"/>
          <w:i/>
          <w:sz w:val="20"/>
        </w:rPr>
        <w:t>Inspection of Books and Records.</w:t>
      </w:r>
      <w:r>
        <w:rPr>
          <w:rFonts w:ascii="Times New Roman" w:hAnsi="Times New Roman"/>
          <w:sz w:val="20"/>
        </w:rPr>
        <w:t xml:space="preserve"> Holders of our ordinary shares will have no general right under Cayman Islands law to inspect or obtain copies of our corporate records (except for our Memorandum and Articles, any special resolutions passed by our company and the register of mortgages and charges of our company). The names of the directors of the Company may also be obtained. However, we will provide our shareholders with annual audited financial statements. </w:t>
      </w:r>
    </w:p>
    <w:p>
      <w:pPr>
        <w:pStyle w:val="TextBody"/>
        <w:bidi w:val="0"/>
        <w:spacing w:before="240" w:after="0"/>
        <w:jc w:val="left"/>
        <w:rPr>
          <w:rFonts w:ascii="Times New Roman" w:hAnsi="Times New Roman"/>
          <w:sz w:val="20"/>
        </w:rPr>
      </w:pPr>
      <w:r>
        <w:rPr>
          <w:rFonts w:ascii="Times New Roman" w:hAnsi="Times New Roman"/>
          <w:i/>
          <w:sz w:val="20"/>
        </w:rPr>
        <w:t>Exempted Company.</w:t>
      </w:r>
      <w:r>
        <w:rPr>
          <w:rFonts w:ascii="Times New Roman" w:hAnsi="Times New Roman"/>
          <w:sz w:val="20"/>
        </w:rPr>
        <w:t xml:space="preserve"> We are an exempted company with limited liability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does not have to file an annual return of its shareholders with the Registrar of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not required to open its register of members for inspection;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does not have to hold an annual general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may issue shares with no par value;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may obtain an undertaking against the imposition of any future taxation (such undertakings are usually given for 30 years in the first instance);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may register by way of continuation in another jurisdiction and be deregistered in the Cayman Islands;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may register as a limited duration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may register as a segregated portfolio company. </w:t>
            </w:r>
          </w:p>
        </w:tc>
      </w:tr>
    </w:tbl>
    <w:p>
      <w:pPr>
        <w:pStyle w:val="TextBody"/>
        <w:bidi w:val="0"/>
        <w:spacing w:before="240" w:after="0"/>
        <w:jc w:val="left"/>
        <w:rPr/>
      </w:pPr>
      <w:r>
        <w:rPr/>
        <w:t>“</w:t>
      </w:r>
      <w:r>
        <w:rPr>
          <w:rFonts w:ascii="Times New Roman" w:hAnsi="Times New Roman"/>
          <w:sz w:val="20"/>
        </w:rPr>
        <w:t xml:space="preserve">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of Ordinary Shares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restrictions set out below, any of our shareholders may transfer all or any of his or her ordinary shares by an instrument of transfer in the usual or common form or any other form approved by our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may, in its absolute discretion, decline to register any transfer of any ordinary share which is not fully paid up or on which we have a lien. Our board of directors may also decline to register any transfer of any ordinary share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instrument of transfer is lodged with us, accompanied by the certificate for the ordinary shares to which it relates and such other evidence as our board of directors may reasonably require to show the right of the transferor to make the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instrument of transfer is in respect of only one class of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instrument of transfer is properly stamped, if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 transfer to joint holders, the number of joint holders to whom the share is to be transferred does not exceed four;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fee of such maximum sum as The Nasdaq Global Select Market may determine to be payable or such lesser sum as our directors may from time to time require is paid to us in respect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our directors refuse to register a transfer they shall, within three months after the date on which the instrument of transfer was lodged with the company, send to each of the transferor and the transferee notice of such refusal. </w:t>
      </w:r>
    </w:p>
    <w:p>
      <w:pPr>
        <w:pStyle w:val="TextBody"/>
        <w:bidi w:val="0"/>
        <w:spacing w:before="240" w:after="0"/>
        <w:jc w:val="left"/>
        <w:rPr>
          <w:rFonts w:ascii="Times New Roman" w:hAnsi="Times New Roman"/>
          <w:sz w:val="20"/>
        </w:rPr>
      </w:pPr>
      <w:r>
        <w:rPr>
          <w:rFonts w:ascii="Times New Roman" w:hAnsi="Times New Roman"/>
          <w:sz w:val="20"/>
        </w:rPr>
        <w:t xml:space="preserve">The registration of transfers may, after compliance with any notice required of The Nasdaq Select Global Market, be suspended and the register closed at such times and for such periods as our board of directors may in their absolute discretion from time to time determine, provided always, however, that the registration of transfers shall not be suspended nor the register closed for more than 30 days in any year. </w:t>
      </w:r>
    </w:p>
    <w:p>
      <w:pPr>
        <w:pStyle w:val="TextBody"/>
        <w:bidi w:val="0"/>
        <w:spacing w:before="360" w:after="0"/>
        <w:jc w:val="left"/>
        <w:rPr>
          <w:rFonts w:ascii="Times New Roman" w:hAnsi="Times New Roman"/>
          <w:b/>
          <w:sz w:val="20"/>
        </w:rPr>
      </w:pPr>
      <w:r>
        <w:rPr>
          <w:rFonts w:ascii="Times New Roman" w:hAnsi="Times New Roman"/>
          <w:b/>
          <w:sz w:val="20"/>
        </w:rPr>
        <w:t xml:space="preserve">Variations of Rights of Shares </w:t>
      </w:r>
    </w:p>
    <w:p>
      <w:pPr>
        <w:pStyle w:val="TextBody"/>
        <w:bidi w:val="0"/>
        <w:spacing w:before="120" w:after="0"/>
        <w:jc w:val="left"/>
        <w:rPr>
          <w:rFonts w:ascii="Times New Roman" w:hAnsi="Times New Roman"/>
          <w:sz w:val="20"/>
        </w:rPr>
      </w:pPr>
      <w:r>
        <w:rPr>
          <w:rFonts w:ascii="Times New Roman" w:hAnsi="Times New Roman"/>
          <w:sz w:val="20"/>
        </w:rPr>
        <w:t>If at any time our share capital is divided into different classes or series of shares, the rights attached to any class or series of shares (unless otherwise provided by the terms of issue of the shares of that class or series), whether or not our company is being wound-up, may be varied with the consent in writing of the holders of three-fourths of the issued shares of that class or series or with the sanction of a special resolution passed at a separate meeting of the holders of the shares of the class or series. The rights conferred upon the holders of the shares of any class issued shall not, unless otherwise expressly provided by the terms of issue of the shares of that class, be deemed to be varied by the creation or issue of further shares ranking </w:t>
      </w:r>
      <w:r>
        <w:rPr>
          <w:rFonts w:ascii="Times New Roman" w:hAnsi="Times New Roman"/>
          <w:i/>
          <w:sz w:val="20"/>
        </w:rPr>
        <w:t>pari passu</w:t>
      </w:r>
      <w:r>
        <w:rPr>
          <w:rFonts w:ascii="Times New Roman" w:hAnsi="Times New Roman"/>
          <w:sz w:val="20"/>
        </w:rPr>
        <w:t xml:space="preserve"> with such existing class of shares, or with preferred or other rights including, without limitation, the creation of shares with enhanced or weighted voting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Issuance of Additional Shares </w:t>
      </w:r>
    </w:p>
    <w:p>
      <w:pPr>
        <w:pStyle w:val="TextBody"/>
        <w:bidi w:val="0"/>
        <w:spacing w:before="120" w:after="0"/>
        <w:jc w:val="left"/>
        <w:rPr>
          <w:rFonts w:ascii="Times New Roman" w:hAnsi="Times New Roman"/>
          <w:sz w:val="20"/>
        </w:rPr>
      </w:pPr>
      <w:r>
        <w:rPr>
          <w:rFonts w:ascii="Times New Roman" w:hAnsi="Times New Roman"/>
          <w:sz w:val="20"/>
        </w:rPr>
        <w:t xml:space="preserve">Our Memorandum and Articles authorizes our board of directors to issue additional ordinary shares from time to time as our board of directors shall determine, to the extent of available authorized but unissued shares. </w:t>
      </w:r>
    </w:p>
    <w:p>
      <w:pPr>
        <w:pStyle w:val="TextBody"/>
        <w:bidi w:val="0"/>
        <w:spacing w:before="240" w:after="0"/>
        <w:jc w:val="left"/>
        <w:rPr>
          <w:rFonts w:ascii="Times New Roman" w:hAnsi="Times New Roman"/>
          <w:sz w:val="20"/>
        </w:rPr>
      </w:pPr>
      <w:r>
        <w:rPr>
          <w:rFonts w:ascii="Times New Roman" w:hAnsi="Times New Roman"/>
          <w:sz w:val="20"/>
        </w:rPr>
        <w:t xml:space="preserve">Our Memorandum and Articles also authorizes our board of directors to establish from time to time one or more series of preference shares and to determine, with respect to any series of preference shares, the terms and rights of that series,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dividend rights, dividend rates, conversion rights and voting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and terms of redemption and liquidation preferences;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powers, preferences and relative, participating, optional and other special rights.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board of directors may issue preference shares without action by our shareholders to the extent authorized but unissued. Issuance of these shares may dilute the voting power of holders of ordinary shares.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Provisions </w:t>
      </w:r>
    </w:p>
    <w:p>
      <w:pPr>
        <w:pStyle w:val="TextBody"/>
        <w:bidi w:val="0"/>
        <w:spacing w:before="120" w:after="0"/>
        <w:jc w:val="left"/>
        <w:rPr>
          <w:rFonts w:ascii="Times New Roman" w:hAnsi="Times New Roman"/>
          <w:sz w:val="20"/>
        </w:rPr>
      </w:pPr>
      <w:r>
        <w:rPr>
          <w:rFonts w:ascii="Times New Roman" w:hAnsi="Times New Roman"/>
          <w:sz w:val="20"/>
        </w:rPr>
        <w:t xml:space="preserve">Some provisions of our Memorandum and Articles may discourage, delay or prevent a change of control of our company or management that shareholders may consider favorable, including provisions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 our board of directors to issue preference shares in one or more series and to designate the price, rights, preferences, privileges and restrictions of such preference shares without any further vote or action by our shareholders;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authorize our board of directors to cancel or postpone any duly convened general meeting at any time prior to such meeting (except for general meetings requisitioned by shareholders holding, at the date of the deposit of any request for a general meeting, in aggregate not less than one-third of the aggregate number of votes attaching to all issued and outstanding shares of the company as at the date of the deposit.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under Cayman Islands law, our directors may only exercise the rights and powers granted to them under our Memorandum and Articles for a proper purpose and for what they believe in good faith to be in the best interests of our company in accordance with their fiduciary duties under Cayman Islands law. </w:t>
      </w:r>
    </w:p>
    <w:p>
      <w:pPr>
        <w:pStyle w:val="TextBody"/>
        <w:bidi w:val="0"/>
        <w:spacing w:before="360" w:after="0"/>
        <w:jc w:val="left"/>
        <w:rPr>
          <w:rFonts w:ascii="Times New Roman" w:hAnsi="Times New Roman"/>
          <w:b/>
          <w:sz w:val="20"/>
        </w:rPr>
      </w:pPr>
      <w:r>
        <w:rPr>
          <w:rFonts w:ascii="Times New Roman" w:hAnsi="Times New Roman"/>
          <w:b/>
          <w:sz w:val="20"/>
        </w:rPr>
        <w:t xml:space="preserve">Differences in Corporate Law </w:t>
      </w:r>
    </w:p>
    <w:p>
      <w:pPr>
        <w:pStyle w:val="TextBody"/>
        <w:bidi w:val="0"/>
        <w:spacing w:before="120" w:after="0"/>
        <w:jc w:val="left"/>
        <w:rPr>
          <w:rFonts w:ascii="Times New Roman" w:hAnsi="Times New Roman"/>
          <w:sz w:val="20"/>
        </w:rPr>
      </w:pPr>
      <w:r>
        <w:rPr>
          <w:rFonts w:ascii="Times New Roman" w:hAnsi="Times New Roman"/>
          <w:sz w:val="20"/>
        </w:rPr>
        <w:t xml:space="preserve">The Companies Act is derived, to a large extent, from the older Companies Acts of England but does not follow recent English statutory enactments and accordingly there are significant differences between the Companies Act and the current Companies Act of England. In addition, the Companies Act differs from laws applicable to U.S. corporations and their shareholders. Set forth below is a summary of certain significant differences between the provisions of the Companies Act applicable to us and the laws applicable to companies incorporated in the United States and their shareholders. </w:t>
      </w:r>
    </w:p>
    <w:p>
      <w:pPr>
        <w:pStyle w:val="TextBody"/>
        <w:bidi w:val="0"/>
        <w:spacing w:before="240" w:after="0"/>
        <w:jc w:val="left"/>
        <w:rPr>
          <w:rFonts w:ascii="Times New Roman" w:hAnsi="Times New Roman"/>
          <w:sz w:val="20"/>
        </w:rPr>
      </w:pPr>
      <w:r>
        <w:rPr>
          <w:rFonts w:ascii="Times New Roman" w:hAnsi="Times New Roman"/>
          <w:i/>
          <w:sz w:val="20"/>
        </w:rPr>
        <w:t>Mergers and Similar Arrangements.</w:t>
      </w:r>
      <w:r>
        <w:rPr>
          <w:rFonts w:ascii="Times New Roman" w:hAnsi="Times New Roman"/>
          <w:sz w:val="20"/>
        </w:rPr>
        <w:t xml:space="preserve"> The Companies Act permits mergers and consolidations between Cayman Islands companies and between Cayman Islands companies and non-Cayman Islands companies. For these purposes, (i) “merger” means the merging of two or more constituent companies and the vesting of their undertaking, property and liabilities in one of such companies as the surviving company, and (ii) a “consolidation” means the combination of two or more constituent companies into a consolidated company and the vesting of the undertaking, property and liabilities of such companies to the consolidated company. In order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signed by a director (or the equivalent position of the non-Cayman Islands company) and filed with the Registrar of Companies of the Cayman Islands together with, among other things,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 </w:t>
      </w:r>
    </w:p>
    <w:p>
      <w:pPr>
        <w:pStyle w:val="TextBody"/>
        <w:bidi w:val="0"/>
        <w:spacing w:before="240" w:after="0"/>
        <w:jc w:val="left"/>
        <w:rPr>
          <w:rFonts w:ascii="Times New Roman" w:hAnsi="Times New Roman"/>
          <w:sz w:val="20"/>
        </w:rPr>
      </w:pPr>
      <w:r>
        <w:rPr>
          <w:rFonts w:ascii="Times New Roman" w:hAnsi="Times New Roman"/>
          <w:sz w:val="20"/>
        </w:rPr>
        <w:t xml:space="preserve">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 </w:t>
      </w:r>
    </w:p>
    <w:p>
      <w:pPr>
        <w:pStyle w:val="TextBody"/>
        <w:bidi w:val="0"/>
        <w:spacing w:before="240" w:after="0"/>
        <w:jc w:val="left"/>
        <w:rPr>
          <w:rFonts w:ascii="Times New Roman" w:hAnsi="Times New Roman"/>
          <w:sz w:val="20"/>
        </w:rPr>
      </w:pPr>
      <w:r>
        <w:rPr>
          <w:rFonts w:ascii="Times New Roman" w:hAnsi="Times New Roman"/>
          <w:sz w:val="20"/>
        </w:rPr>
        <w:t xml:space="preserve">The consent of each holder of a fixed or floating security interest over a constituent company is required unless this requirement is waived by a court in the Cayman Islands. </w:t>
      </w:r>
    </w:p>
    <w:p>
      <w:pPr>
        <w:pStyle w:val="TextBody"/>
        <w:bidi w:val="0"/>
        <w:spacing w:before="240" w:after="0"/>
        <w:jc w:val="left"/>
        <w:rPr>
          <w:rFonts w:ascii="Times New Roman" w:hAnsi="Times New Roman"/>
          <w:sz w:val="20"/>
        </w:rPr>
      </w:pPr>
      <w:r>
        <w:rPr>
          <w:rFonts w:ascii="Times New Roman" w:hAnsi="Times New Roman"/>
          <w:sz w:val="20"/>
        </w:rPr>
        <w:t xml:space="preserve">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 </w:t>
      </w:r>
    </w:p>
    <w:p>
      <w:pPr>
        <w:pStyle w:val="TextBody"/>
        <w:bidi w:val="0"/>
        <w:spacing w:before="240" w:after="0"/>
        <w:jc w:val="left"/>
        <w:rPr>
          <w:rFonts w:ascii="Times New Roman" w:hAnsi="Times New Roman"/>
          <w:sz w:val="20"/>
        </w:rPr>
      </w:pPr>
      <w:r>
        <w:rPr>
          <w:rFonts w:ascii="Times New Roman" w:hAnsi="Times New Roman"/>
          <w:sz w:val="20"/>
        </w:rPr>
        <w:t xml:space="preserve">Separate from the statutory provisions relating to mergers and consolidations, the Companies Act also contains statutory provisions that facilitate the reconstruction and amalgamation of companies by way of schemes of arrangement, provided that the arrangement is approved by a majority in number of each class of creditors with whom the arrangement is to be made, and who must in addition represent three-fourths in value of each such class of creditors or the arrangement is approved by three-fourths in value of the shareholders or each such class of shareholders,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statutory provisions as to the required majority vote have been met;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shareholders have been fairly represented at the meeting in question and the statutory majority are acting bona fide without coercion of the minority to promote interests adverse to those of the class;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arrangement is such that may be reasonably approved by an intelligent and honest man of that class acting in respect of his interest;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arrangement is not one that would more properly be sanctioned under some other provision of the Companies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Companies Act also contains a statutory power of compulsory acquisition which may facilitate the “squeeze out” of dissentient minority shareholder upon a tender offer. When a tender offer is made and accepted by holders of 90.0% of the shares affected within four months, the offeror may, within a two-month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commencing on the expiration of such four 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 </w:t>
      </w:r>
    </w:p>
    <w:p>
      <w:pPr>
        <w:pStyle w:val="TextBody"/>
        <w:bidi w:val="0"/>
        <w:spacing w:before="240" w:after="0"/>
        <w:jc w:val="left"/>
        <w:rPr>
          <w:rFonts w:ascii="Times New Roman" w:hAnsi="Times New Roman"/>
          <w:sz w:val="20"/>
        </w:rPr>
      </w:pPr>
      <w:r>
        <w:rPr>
          <w:rFonts w:ascii="Times New Roman" w:hAnsi="Times New Roman"/>
          <w:sz w:val="20"/>
        </w:rPr>
        <w:t xml:space="preserve">If an arrangement and reconstruction by way of scheme of arrangement is thus approved and sanctioned, or if a tender offer is made and accepted, a dissenting shareholder would have no rights comparable to appraisal rights, which would otherwise ordinarily be available to dissenting shareholders of Delaware corporations, providing rights to receive payment in cash for the judicially determined value of the shares. </w:t>
      </w:r>
    </w:p>
    <w:p>
      <w:pPr>
        <w:pStyle w:val="TextBody"/>
        <w:bidi w:val="0"/>
        <w:spacing w:before="240" w:after="0"/>
        <w:jc w:val="left"/>
        <w:rPr>
          <w:rFonts w:ascii="Times New Roman" w:hAnsi="Times New Roman"/>
          <w:sz w:val="20"/>
        </w:rPr>
      </w:pPr>
      <w:r>
        <w:rPr>
          <w:rFonts w:ascii="Times New Roman" w:hAnsi="Times New Roman"/>
          <w:i/>
          <w:sz w:val="20"/>
        </w:rPr>
        <w:t>Shareholders’ Suits.</w:t>
      </w:r>
      <w:r>
        <w:rPr>
          <w:rFonts w:ascii="Times New Roman" w:hAnsi="Times New Roman"/>
          <w:sz w:val="20"/>
        </w:rPr>
        <w:t xml:space="preserve"> In principle, we will normally be the proper plaintiff to sue for a wrong done to us 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Foss v. Harbottle and the exceptions thereto) so that a non-controlling shareholder may be permitted to commence a class action against or derivative actions in the name of the company to challenge actions 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company acts or proposes to act illegally or ultra vires;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act complained of, although not ultra vires, could only be effected duly if authorized by more than a simple majority vote that has not been obtained;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those who control the company are perpetrating a “fraud on the minority.” </w:t>
            </w:r>
          </w:p>
        </w:tc>
      </w:tr>
    </w:tbl>
    <w:p>
      <w:pPr>
        <w:pStyle w:val="TextBody"/>
        <w:bidi w:val="0"/>
        <w:spacing w:before="240" w:after="0"/>
        <w:jc w:val="left"/>
        <w:rPr>
          <w:rFonts w:ascii="Times New Roman" w:hAnsi="Times New Roman"/>
          <w:sz w:val="20"/>
        </w:rPr>
      </w:pPr>
      <w:r>
        <w:rPr>
          <w:rFonts w:ascii="Times New Roman" w:hAnsi="Times New Roman"/>
          <w:i/>
          <w:sz w:val="20"/>
        </w:rPr>
        <w:t>Indemnification of Directors and Executive Officers and Limitation of Liability.</w:t>
      </w:r>
      <w:r>
        <w:rPr>
          <w:rFonts w:ascii="Times New Roman" w:hAnsi="Times New Roman"/>
          <w:sz w:val="20"/>
        </w:rPr>
        <w:t xml:space="preserve"> 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w:t>
      </w:r>
    </w:p>
    <w:p>
      <w:pPr>
        <w:pStyle w:val="TextBody"/>
        <w:bidi w:val="0"/>
        <w:spacing w:before="240" w:after="0"/>
        <w:jc w:val="left"/>
        <w:rPr>
          <w:rFonts w:ascii="Times New Roman" w:hAnsi="Times New Roman"/>
          <w:sz w:val="20"/>
        </w:rPr>
      </w:pPr>
      <w:r>
        <w:rPr>
          <w:rFonts w:ascii="Times New Roman" w:hAnsi="Times New Roman"/>
          <w:sz w:val="20"/>
        </w:rPr>
        <w:t xml:space="preserve">Our Memorandum and Articles provide that we shall indemnify our officers and directors against all actions, proceedings, costs, charges, expenses, losses, damages or liabilities incurred or sustained by such directors or officers,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have entered into indemnification agreements with our directors and executive officers that provide such persons with additional indemnification beyond that provided in our Memorandum and Articles. </w:t>
      </w:r>
    </w:p>
    <w:p>
      <w:pPr>
        <w:pStyle w:val="TextBody"/>
        <w:bidi w:val="0"/>
        <w:spacing w:before="24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 </w:t>
      </w:r>
    </w:p>
    <w:p>
      <w:pPr>
        <w:pStyle w:val="TextBody"/>
        <w:bidi w:val="0"/>
        <w:spacing w:before="240" w:after="0"/>
        <w:jc w:val="left"/>
        <w:rPr>
          <w:rFonts w:ascii="Times New Roman" w:hAnsi="Times New Roman"/>
          <w:sz w:val="20"/>
        </w:rPr>
      </w:pPr>
      <w:r>
        <w:rPr>
          <w:rFonts w:ascii="Times New Roman" w:hAnsi="Times New Roman"/>
          <w:i/>
          <w:sz w:val="20"/>
        </w:rPr>
        <w:t>Directors’ Fiduciary Duties.</w:t>
      </w:r>
      <w:r>
        <w:rPr>
          <w:rFonts w:ascii="Times New Roman" w:hAnsi="Times New Roman"/>
          <w:sz w:val="20"/>
        </w:rPr>
        <w:t xml:space="preserve"> 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As a matter of Cayman Islands law, a director of a Cayman Islands company is in the position of a fiduciary with respect to the company and therefore it is considered that he owes the following duties to the company—a duty to act bona fide in the best interests of the company, a duty not to make a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 </w:t>
      </w:r>
    </w:p>
    <w:p>
      <w:pPr>
        <w:pStyle w:val="TextBody"/>
        <w:bidi w:val="0"/>
        <w:spacing w:before="240" w:after="0"/>
        <w:jc w:val="left"/>
        <w:rPr>
          <w:rFonts w:ascii="Times New Roman" w:hAnsi="Times New Roman"/>
          <w:sz w:val="20"/>
        </w:rPr>
      </w:pPr>
      <w:r>
        <w:rPr>
          <w:rFonts w:ascii="Times New Roman" w:hAnsi="Times New Roman"/>
          <w:i/>
          <w:sz w:val="20"/>
        </w:rPr>
        <w:t>Shareholder Action by Written Resolution.</w:t>
      </w:r>
      <w:r>
        <w:rPr>
          <w:rFonts w:ascii="Times New Roman" w:hAnsi="Times New Roman"/>
          <w:sz w:val="20"/>
        </w:rPr>
        <w:t xml:space="preserve"> Under the Delaware General Corporation Law, a corporation may eliminate the right of shareholders to act by written consent by amendment to its certificate of incorporation. Our Memorandum and Articles provide that no action shall be taken by the shareholders except at an annual or extraordinary general meeting called in accordance with our Memorandum and Articles and no action shall be taken by the shareholders by written consent or electronic transmission, subject to the Companies Act. </w:t>
      </w:r>
    </w:p>
    <w:p>
      <w:pPr>
        <w:pStyle w:val="TextBody"/>
        <w:bidi w:val="0"/>
        <w:spacing w:before="240" w:after="0"/>
        <w:jc w:val="left"/>
        <w:rPr>
          <w:rFonts w:ascii="Times New Roman" w:hAnsi="Times New Roman"/>
          <w:sz w:val="20"/>
        </w:rPr>
      </w:pPr>
      <w:r>
        <w:rPr>
          <w:rFonts w:ascii="Times New Roman" w:hAnsi="Times New Roman"/>
          <w:i/>
          <w:sz w:val="20"/>
        </w:rPr>
        <w:t>Shareholder Proposals.</w:t>
      </w:r>
      <w:r>
        <w:rPr>
          <w:rFonts w:ascii="Times New Roman" w:hAnsi="Times New Roman"/>
          <w:sz w:val="20"/>
        </w:rPr>
        <w:t xml:space="preserve"> 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 </w:t>
      </w:r>
    </w:p>
    <w:p>
      <w:pPr>
        <w:pStyle w:val="TextBody"/>
        <w:bidi w:val="0"/>
        <w:spacing w:before="240" w:after="0"/>
        <w:jc w:val="left"/>
        <w:rPr>
          <w:rFonts w:ascii="Times New Roman" w:hAnsi="Times New Roman"/>
          <w:sz w:val="20"/>
        </w:rPr>
      </w:pPr>
      <w:r>
        <w:rPr>
          <w:rFonts w:ascii="Times New Roman" w:hAnsi="Times New Roman"/>
          <w:sz w:val="20"/>
        </w:rPr>
        <w:t xml:space="preserve">The Companies Act provides shareholders with only limited rights to requisition a general meeting. However, these rights may be provided in a company’s articles of association. Our Memorandum and Articles allow our shareholders holding in aggregate not less than one-third of all votes attaching to the issued and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 meeting. As an exempted Cayman Islands company, we may but are not obliged by law to call shareholders’ annual general meetings. See “-Our Memorandum and Articles -General Meetings of Shareholders” for more information on the rights of our shareholders’ rights to put proposals before the annual general meeting. </w:t>
      </w:r>
    </w:p>
    <w:p>
      <w:pPr>
        <w:pStyle w:val="TextBody"/>
        <w:bidi w:val="0"/>
        <w:spacing w:before="240" w:after="0"/>
        <w:jc w:val="left"/>
        <w:rPr>
          <w:rFonts w:ascii="Times New Roman" w:hAnsi="Times New Roman"/>
          <w:sz w:val="20"/>
        </w:rPr>
      </w:pPr>
      <w:r>
        <w:rPr>
          <w:rFonts w:ascii="Times New Roman" w:hAnsi="Times New Roman"/>
          <w:i/>
          <w:sz w:val="20"/>
        </w:rPr>
        <w:t>Cumulative Voting.</w:t>
      </w:r>
      <w:r>
        <w:rPr>
          <w:rFonts w:ascii="Times New Roman" w:hAnsi="Times New Roman"/>
          <w:sz w:val="20"/>
        </w:rPr>
        <w:t xml:space="preserve"> 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for a single director, which increases the shareholder’s voting power with respect to electing such director. There are no prohibitions in relation to cumulative voting under the law of the Cayman Islands but our Memorandum and Articles do not provide for cumulative voting. As a result, our shareholders are not afforded any less protections or rights on this issue than shareholders of a Delaware corporation. </w:t>
      </w:r>
    </w:p>
    <w:p>
      <w:pPr>
        <w:pStyle w:val="TextBody"/>
        <w:bidi w:val="0"/>
        <w:spacing w:before="240" w:after="0"/>
        <w:jc w:val="left"/>
        <w:rPr>
          <w:rFonts w:ascii="Times New Roman" w:hAnsi="Times New Roman"/>
          <w:sz w:val="20"/>
        </w:rPr>
      </w:pPr>
      <w:r>
        <w:rPr>
          <w:rFonts w:ascii="Times New Roman" w:hAnsi="Times New Roman"/>
          <w:i/>
          <w:sz w:val="20"/>
        </w:rPr>
        <w:t>Removal of Directors.</w:t>
      </w:r>
      <w:r>
        <w:rPr>
          <w:rFonts w:ascii="Times New Roman" w:hAnsi="Times New Roman"/>
          <w:sz w:val="20"/>
        </w:rPr>
        <w:t xml:space="preserve"> Under the Delaware General Corporation Law, a director of a corporation with a classified board may be removed only for cause with the approval of a majority of the outstanding shares entitled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vote, unless the certificate of incorporation provides otherwise. Under our Memorandum and Articles, directors may be removed only for cause by an ordinary resolution of our shareholders. In addition, a director’s office shall be vacated if the director (i) becomes bankrupt or makes any arrangement or composition with his creditors; (ii) is found to be or becomes of unsound mind or dies; (iii) resigns his office by notice in writing to the company; (iv) without special leave of absence from our board of directors, is absent from three consecutive meetings of the board and the board resolves that his office be vacated; or (v) is removed from office pursuant to any other provisions of our Memorandum and Articles. </w:t>
      </w:r>
    </w:p>
    <w:p>
      <w:pPr>
        <w:pStyle w:val="TextBody"/>
        <w:bidi w:val="0"/>
        <w:spacing w:before="240" w:after="0"/>
        <w:jc w:val="left"/>
        <w:rPr>
          <w:rFonts w:ascii="Times New Roman" w:hAnsi="Times New Roman"/>
          <w:sz w:val="20"/>
        </w:rPr>
      </w:pPr>
      <w:r>
        <w:rPr>
          <w:rFonts w:ascii="Times New Roman" w:hAnsi="Times New Roman"/>
          <w:i/>
          <w:sz w:val="20"/>
        </w:rPr>
        <w:t>Transactions with Interested Shareholders.</w:t>
      </w:r>
      <w:r>
        <w:rPr>
          <w:rFonts w:ascii="Times New Roman" w:hAnsi="Times New Roman"/>
          <w:sz w:val="20"/>
        </w:rPr>
        <w:t xml:space="preserve"> 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 </w:t>
      </w:r>
    </w:p>
    <w:p>
      <w:pPr>
        <w:pStyle w:val="TextBody"/>
        <w:bidi w:val="0"/>
        <w:spacing w:before="240" w:after="0"/>
        <w:jc w:val="left"/>
        <w:rPr>
          <w:rFonts w:ascii="Times New Roman" w:hAnsi="Times New Roman"/>
          <w:sz w:val="20"/>
        </w:rPr>
      </w:pPr>
      <w:r>
        <w:rPr>
          <w:rFonts w:ascii="Times New Roman" w:hAnsi="Times New Roman"/>
          <w:i/>
          <w:sz w:val="20"/>
        </w:rPr>
        <w:t>Dissolution; Winding up.</w:t>
      </w:r>
      <w:r>
        <w:rPr>
          <w:rFonts w:ascii="Times New Roman" w:hAnsi="Times New Roman"/>
          <w:sz w:val="20"/>
        </w:rPr>
        <w:t xml:space="preserve"> 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Act and our Memorandum and Articles, our company may be wound up, liquidated and dissolved by a special resolution of our shareholders. </w:t>
      </w:r>
    </w:p>
    <w:p>
      <w:pPr>
        <w:pStyle w:val="TextBody"/>
        <w:bidi w:val="0"/>
        <w:spacing w:before="240" w:after="0"/>
        <w:jc w:val="left"/>
        <w:rPr>
          <w:rFonts w:ascii="Times New Roman" w:hAnsi="Times New Roman"/>
          <w:sz w:val="20"/>
        </w:rPr>
      </w:pPr>
      <w:r>
        <w:rPr>
          <w:rFonts w:ascii="Times New Roman" w:hAnsi="Times New Roman"/>
          <w:i/>
          <w:sz w:val="20"/>
        </w:rPr>
        <w:t>Variation of Rights of Shares.</w:t>
      </w:r>
      <w:r>
        <w:rPr>
          <w:rFonts w:ascii="Times New Roman" w:hAnsi="Times New Roman"/>
          <w:sz w:val="20"/>
        </w:rPr>
        <w:t xml:space="preserve"> Under the Delaware General Corporation Law, a corporation may vary the rights of a class of shares with the approval of a majority of the outstanding shares of such class, unless the certificate of incorporation provides otherwise. Under Cayman Islands law and our Memorandum and Articles, if our share capital is divided into more than one class of shares, we may vary the rights attached to any class with the written consent of the holders of three-fourths of the issued shares of that class or with the sanction of a special resolution passed at a general meeting of the holders of the shares of that class. </w:t>
      </w:r>
    </w:p>
    <w:p>
      <w:pPr>
        <w:pStyle w:val="TextBody"/>
        <w:bidi w:val="0"/>
        <w:spacing w:before="240" w:after="0"/>
        <w:jc w:val="left"/>
        <w:rPr>
          <w:rFonts w:ascii="Times New Roman" w:hAnsi="Times New Roman"/>
          <w:sz w:val="20"/>
        </w:rPr>
      </w:pPr>
      <w:r>
        <w:rPr>
          <w:rFonts w:ascii="Times New Roman" w:hAnsi="Times New Roman"/>
          <w:i/>
          <w:sz w:val="20"/>
        </w:rPr>
        <w:t>Amendment of Governing Documents.</w:t>
      </w:r>
      <w:r>
        <w:rPr>
          <w:rFonts w:ascii="Times New Roman" w:hAnsi="Times New Roman"/>
          <w:sz w:val="20"/>
        </w:rPr>
        <w:t xml:space="preserve"> Under the Delaware General Corporation Law, a corporation’s governing documents may be amended with the approval of a majority of the outstanding shares entitled to vote, unless the certificate of incorporation provides otherwise. Under the Companies Act and our Memorandum and Articles, our Memorandum and Articles may only be amended by a special resolution of our shareholders.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Rights of Non-resident or Foreign Shareholders </w:t>
      </w:r>
    </w:p>
    <w:p>
      <w:pPr>
        <w:pStyle w:val="TextBody"/>
        <w:bidi w:val="0"/>
        <w:spacing w:before="120" w:after="0"/>
        <w:jc w:val="left"/>
        <w:rPr>
          <w:rFonts w:ascii="Times New Roman" w:hAnsi="Times New Roman"/>
          <w:sz w:val="20"/>
        </w:rPr>
      </w:pPr>
      <w:r>
        <w:rPr>
          <w:rFonts w:ascii="Times New Roman" w:hAnsi="Times New Roman"/>
          <w:sz w:val="20"/>
        </w:rPr>
        <w:t xml:space="preserve">There are no limitations imposed by our Memorandum and Articles on the rights of non-resident or foreign shareholders to hold or exercise voting rights on our shares. In addition, there are no provisions in our Memorandum and Articles governing the ownership threshold above which shareholder ownership must be disclosed. </w:t>
      </w:r>
    </w:p>
    <w:p>
      <w:pPr>
        <w:pStyle w:val="TextBody"/>
        <w:bidi w:val="0"/>
        <w:spacing w:before="360" w:after="0"/>
        <w:jc w:val="left"/>
        <w:rPr>
          <w:rFonts w:ascii="Times New Roman" w:hAnsi="Times New Roman"/>
          <w:b/>
          <w:sz w:val="20"/>
        </w:rPr>
      </w:pPr>
      <w:r>
        <w:rPr>
          <w:rFonts w:ascii="Times New Roman" w:hAnsi="Times New Roman"/>
          <w:b/>
          <w:sz w:val="20"/>
        </w:rPr>
        <w:t xml:space="preserve">History of Securities Issuances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the events that have changed the number of our share capital since January 1, 2021: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From January 1, 2021 to December 31, 2023, we issued options to purchase an aggregate of 3,215,000 ordinary shares to employees with an exercise price of $19.16 and restricted stock units representing 7,815,584 ordinary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May 21, 2021, we issued 20,809,850 ordinary shares for aggregate gross proceeds of $300.0 million and a warrant exercisable for up to an aggregate of 10,000,000 ordinary shares to an institutional investor, or the 2021 Subscription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April 24, 2023, we issued 7,656,968 ordinary shares for aggregate gross proceeds of $200.0 million pursuant to a subscription agreement with an institutional investor, or the Initial 2023 Subscription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May 2, 2023, we issued 484,992 ordinary shares for aggregate gross proceeds of $12.6 million pursuant to a subscription agreement with an institutional investor, or the Subsequent 2023 Subscription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May 10, 2023, we issued 5,468,750 ordinary shares for aggregate gross proceeds of $350.0 million in a registered direct offering to an institutional investor.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May 12, 2023, we issued 10,000,000 ordinary shares upon exercise of a warrant for an aggregate exercise price of $200 million.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May 19, 2023, we issued 692,782 ordinary shares for aggregate gross proceeds of $22.1 million of the Company pursuant to a subscription agreement with an institutional investor, or the May 2023 Subscription Agreement and together with the 2021 Subscription Agreement, the Initial 2023 Subscription Agreement and the Subsequent 2023 Subscription Agreement, the Subscription Agreements.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Options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2023, there were options to purchase 6,366,358 ordinary shares outstanding with a weighted average exercise price of $9.33 per ordinary share. The options generally lapse after 10 years from date of grant. </w:t>
      </w:r>
    </w:p>
    <w:p>
      <w:pPr>
        <w:pStyle w:val="TextBody"/>
        <w:bidi w:val="0"/>
        <w:spacing w:before="360" w:after="0"/>
        <w:jc w:val="left"/>
        <w:rPr>
          <w:rFonts w:ascii="Times New Roman" w:hAnsi="Times New Roman"/>
          <w:b/>
          <w:i/>
          <w:sz w:val="20"/>
        </w:rPr>
      </w:pPr>
      <w:r>
        <w:rPr>
          <w:rFonts w:ascii="Times New Roman" w:hAnsi="Times New Roman"/>
          <w:b/>
          <w:i/>
          <w:sz w:val="20"/>
        </w:rPr>
        <w:t xml:space="preserve">Restricted Stock Units </w:t>
      </w:r>
    </w:p>
    <w:p>
      <w:pPr>
        <w:pStyle w:val="TextBody"/>
        <w:bidi w:val="0"/>
        <w:spacing w:before="120" w:after="0"/>
        <w:jc w:val="left"/>
        <w:rPr>
          <w:rFonts w:ascii="Times New Roman" w:hAnsi="Times New Roman"/>
          <w:sz w:val="20"/>
        </w:rPr>
      </w:pPr>
      <w:r>
        <w:rPr>
          <w:rFonts w:ascii="Times New Roman" w:hAnsi="Times New Roman"/>
          <w:sz w:val="20"/>
        </w:rPr>
        <w:t xml:space="preserve">As of December 31, 2023, there were restricted stock units outstanding representing 4,948,956 ordinary shares upon vesting. </w:t>
      </w:r>
    </w:p>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Our ADSs are listed on The Nasdaq Global Select Market under the trading symbol “LEGN.”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toc150521_7"/>
      <w:bookmarkEnd w:id="24"/>
      <w:r>
        <w:rPr>
          <w:rFonts w:ascii="Times New Roman" w:hAnsi="Times New Roman"/>
          <w:b/>
          <w:sz w:val="20"/>
        </w:rPr>
        <w:t xml:space="preserve">DESCRIPTION OF AMERICAN DEPOSITARY SHARES </w:t>
      </w:r>
    </w:p>
    <w:p>
      <w:pPr>
        <w:pStyle w:val="TextBody"/>
        <w:bidi w:val="0"/>
        <w:spacing w:before="240" w:after="0"/>
        <w:jc w:val="left"/>
        <w:rPr>
          <w:rFonts w:ascii="Times New Roman" w:hAnsi="Times New Roman"/>
          <w:b/>
          <w:sz w:val="20"/>
        </w:rPr>
      </w:pPr>
      <w:r>
        <w:rPr>
          <w:rFonts w:ascii="Times New Roman" w:hAnsi="Times New Roman"/>
          <w:b/>
          <w:sz w:val="20"/>
        </w:rPr>
        <w:t xml:space="preserve">American Depositary Receipts </w:t>
      </w:r>
    </w:p>
    <w:p>
      <w:pPr>
        <w:pStyle w:val="TextBody"/>
        <w:bidi w:val="0"/>
        <w:spacing w:before="120" w:after="0"/>
        <w:jc w:val="left"/>
        <w:rPr>
          <w:rFonts w:ascii="Times New Roman" w:hAnsi="Times New Roman"/>
          <w:sz w:val="20"/>
        </w:rPr>
      </w:pPr>
      <w:r>
        <w:rPr>
          <w:rFonts w:ascii="Times New Roman" w:hAnsi="Times New Roman"/>
          <w:sz w:val="20"/>
        </w:rPr>
        <w:t xml:space="preserve">JPMorgan Chase Bank, N.A., or JPMorgan, as depositary, will issue the ADSs. Each ADS will represent an ownership interest in a designated number of shares which we will deposit with the custodian, as agent of the depositary, under the deposit agreement among ourselves, the depositary, yourself as an ADR holder and all other ADR holders, and all beneficial owners of an interest in the ADSs evidenced by ADRs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The depositary’s office is located at 383 Madison Avenue, Floor 11, New York, NY 10179. </w:t>
      </w:r>
    </w:p>
    <w:p>
      <w:pPr>
        <w:pStyle w:val="TextBody"/>
        <w:bidi w:val="0"/>
        <w:spacing w:before="240" w:after="0"/>
        <w:jc w:val="left"/>
        <w:rPr>
          <w:rFonts w:ascii="Times New Roman" w:hAnsi="Times New Roman"/>
          <w:sz w:val="20"/>
        </w:rPr>
      </w:pPr>
      <w:r>
        <w:rPr>
          <w:rFonts w:ascii="Times New Roman" w:hAnsi="Times New Roman"/>
          <w:sz w:val="20"/>
        </w:rPr>
        <w:t xml:space="preserve">The ADS to share ratio is subject to amendment as provided in the form of ADR (which may give rise to fees contemplated by the form of ADR). In the future, each ADS will also represent any securities, cash or other property deposited with the depositary but which they have not distributed directly to you. </w:t>
      </w:r>
    </w:p>
    <w:p>
      <w:pPr>
        <w:pStyle w:val="TextBody"/>
        <w:bidi w:val="0"/>
        <w:spacing w:before="240" w:after="0"/>
        <w:jc w:val="left"/>
        <w:rPr>
          <w:rFonts w:ascii="Times New Roman" w:hAnsi="Times New Roman"/>
          <w:sz w:val="20"/>
        </w:rPr>
      </w:pPr>
      <w:r>
        <w:rPr>
          <w:rFonts w:ascii="Times New Roman" w:hAnsi="Times New Roman"/>
          <w:sz w:val="20"/>
        </w:rPr>
        <w:t xml:space="preserve">A beneficial owner is any person or entity having a beneficial ownership interest ADSs. A beneficial owner need not be the holder of the ADR evidencing such ADS. If a beneficial owner of ADSs is not an ADR holder, it must rely on the holder of the ADR(s) evidencing such ADSs in order to assert any rights or receive any benefits under the deposit agreement. A beneficial owner shall only be able to exercise any right or receive any benefit under the deposit agreement solely through the holder of the ADR(s) evidencing the ADSs owned by such beneficial owner. The arrangements between a beneficial owner of ADSs and the holder of the corresponding ADRs may affect the beneficial owner’s ability to exercise any rights it may have. </w:t>
      </w:r>
    </w:p>
    <w:p>
      <w:pPr>
        <w:pStyle w:val="TextBody"/>
        <w:bidi w:val="0"/>
        <w:spacing w:before="240" w:after="0"/>
        <w:jc w:val="left"/>
        <w:rPr>
          <w:rFonts w:ascii="Times New Roman" w:hAnsi="Times New Roman"/>
          <w:sz w:val="20"/>
        </w:rPr>
      </w:pPr>
      <w:r>
        <w:rPr>
          <w:rFonts w:ascii="Times New Roman" w:hAnsi="Times New Roman"/>
          <w:sz w:val="20"/>
        </w:rPr>
        <w:t xml:space="preserve">An ADR holder shall be deemed to have all requisite authority to act on behalf of any and all beneficial owners of the ADSs evidenced by the ADRs registered in such ADR holder’s name for all purposes under the deposit agreement and ADRs. The depositary’s only notification obligations under the deposit agreement and the ADRs is to registered ADR holders. Notice to an ADR holder shall be deemed, for all purposes of the deposit agreement and the ADRs, to constitute notice to any and all beneficial owners of the ADSs evidenced by such ADR holder’s ADRs. </w:t>
      </w:r>
    </w:p>
    <w:p>
      <w:pPr>
        <w:pStyle w:val="TextBody"/>
        <w:bidi w:val="0"/>
        <w:spacing w:before="240" w:after="0"/>
        <w:jc w:val="left"/>
        <w:rPr>
          <w:rFonts w:ascii="Times New Roman" w:hAnsi="Times New Roman"/>
          <w:sz w:val="20"/>
        </w:rPr>
      </w:pPr>
      <w:r>
        <w:rPr>
          <w:rFonts w:ascii="Times New Roman" w:hAnsi="Times New Roman"/>
          <w:sz w:val="20"/>
        </w:rPr>
        <w:t xml:space="preserve">Unless certificated ADRs are specifically requested, all ADSs will be issued on the books of our depositary in book-entry form and periodic statements will be mailed to you which reflect your ownership interest in such ADSs. In our description, references to American depositary receipts or ADRs shall include the statements you will receive which reflect your ownership of ADSs. </w:t>
      </w:r>
    </w:p>
    <w:p>
      <w:pPr>
        <w:pStyle w:val="TextBody"/>
        <w:bidi w:val="0"/>
        <w:spacing w:before="240" w:after="0"/>
        <w:jc w:val="left"/>
        <w:rPr>
          <w:rFonts w:ascii="Times New Roman" w:hAnsi="Times New Roman"/>
          <w:sz w:val="20"/>
        </w:rPr>
      </w:pPr>
      <w:r>
        <w:rPr>
          <w:rFonts w:ascii="Times New Roman" w:hAnsi="Times New Roman"/>
          <w:sz w:val="20"/>
        </w:rPr>
        <w:t xml:space="preserve">You may hold ADSs either directly or indirectly through your broker or other financial institution. If you hold ADSs directly, by having an ADS registered in your name on the books of the depositary, you are an ADR holder. This description assumes you hold your ADSs directly. If you hold the ADSs through your broker or financial institution nominee, you must rely on the procedures of such broker or financial institution to assert the rights of an ADR holder described in this section. You should consult with your broker or financial institution to find out what those procedures are. </w:t>
      </w:r>
    </w:p>
    <w:p>
      <w:pPr>
        <w:pStyle w:val="TextBody"/>
        <w:bidi w:val="0"/>
        <w:spacing w:before="240" w:after="0"/>
        <w:jc w:val="left"/>
        <w:rPr>
          <w:rFonts w:ascii="Times New Roman" w:hAnsi="Times New Roman"/>
          <w:sz w:val="20"/>
        </w:rPr>
      </w:pPr>
      <w:r>
        <w:rPr>
          <w:rFonts w:ascii="Times New Roman" w:hAnsi="Times New Roman"/>
          <w:sz w:val="20"/>
        </w:rPr>
        <w:t xml:space="preserve">As an ADR holder or beneficial owner, we will not treat you as a shareholder of ours and you will not have any shareholder rights. Cayman Islands law governs shareholder rights. Because the depositary or its nominee will be the shareholder of record for the shares represented by all outstanding ADSs, shareholder rights rest with such record holder. Your rights are those of an ADR holder or of a beneficial owner. Such rights derive from the terms of the deposit agreement to be entered into among us, the depositary and all holders and beneficial owners from time to time of ADRs issued under the deposit agreement and, in the case of a beneficial owner, from the arrangements between the beneficial owner and the holder of the corresponding ADRs. The obligations of the depositary and its agents are also set out in the deposit agreement. Because the depositary or its nominee will actually be the registered owner of the shares, you must rely on it to exercise the rights of a shareholder on your behalf.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is a summary of what we believe to be the material terms of the deposit agreement. Notwithstanding this, because it is a summary, it may not contain all the information that you may otherwise deem important. For more complete information, you should read the entire deposit agreement and the form of ADR which contains the terms of your ADSs. You can read a copy of the deposit agreement which is filed as an exhibit to the registration statement of which this prospectus forms a part. You may also obtain a copy of the deposit agreement at the SEC’s Public Reference Room which is located at 100 F Street, NE, Washington, DC 20549. You may obtain information on the operation of the Public Reference Room by calling the SEC at 1-800-732-0330. You may also find the registration statement and the attached deposit agreement on the SEC’s website at http://www.sec.gov. </w:t>
      </w:r>
    </w:p>
    <w:p>
      <w:pPr>
        <w:pStyle w:val="TextBody"/>
        <w:bidi w:val="0"/>
        <w:spacing w:before="360" w:after="0"/>
        <w:jc w:val="left"/>
        <w:rPr>
          <w:rFonts w:ascii="Times New Roman" w:hAnsi="Times New Roman"/>
          <w:b/>
          <w:sz w:val="20"/>
        </w:rPr>
      </w:pPr>
      <w:r>
        <w:rPr>
          <w:rFonts w:ascii="Times New Roman" w:hAnsi="Times New Roman"/>
          <w:b/>
          <w:sz w:val="20"/>
        </w:rPr>
        <w:t xml:space="preserve">Share Dividends and Other Distributions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How will I receive dividends and other distributions on the shares underlying my ADSs? </w:t>
      </w:r>
    </w:p>
    <w:p>
      <w:pPr>
        <w:pStyle w:val="TextBody"/>
        <w:bidi w:val="0"/>
        <w:spacing w:before="120" w:after="0"/>
        <w:jc w:val="left"/>
        <w:rPr>
          <w:rFonts w:ascii="Times New Roman" w:hAnsi="Times New Roman"/>
          <w:sz w:val="20"/>
        </w:rPr>
      </w:pPr>
      <w:r>
        <w:rPr>
          <w:rFonts w:ascii="Times New Roman" w:hAnsi="Times New Roman"/>
          <w:sz w:val="20"/>
        </w:rPr>
        <w:t xml:space="preserve">We may make various types of distributions with respect to our securities. The depositary has agreed that, to the extent practicable, it will pay to you the cash dividends or other distributions it or the custodian receives on shares or other deposited securities, after converting any cash received into U.S. dollars (if it determines such conversion may be made on a reasonable basis) and, in all cases, making any necessary deductions provided for in the deposit agreement. The depositary may utilize a division, branch or affiliate of JPMorgan to direct, manage and/or execute any public and/or private sale of securities under the deposit agreement. Such division, branch and/or affiliate may charge the depositary a fee in connection with such sales, which fee is considered an expense of the depositary. You will receive these distributions in proportion to the number of underlying securities that your ADSs represent. </w:t>
      </w:r>
    </w:p>
    <w:p>
      <w:pPr>
        <w:pStyle w:val="TextBody"/>
        <w:bidi w:val="0"/>
        <w:spacing w:before="240" w:after="0"/>
        <w:jc w:val="left"/>
        <w:rPr>
          <w:rFonts w:ascii="Times New Roman" w:hAnsi="Times New Roman"/>
          <w:sz w:val="20"/>
        </w:rPr>
      </w:pPr>
      <w:r>
        <w:rPr>
          <w:rFonts w:ascii="Times New Roman" w:hAnsi="Times New Roman"/>
          <w:sz w:val="20"/>
        </w:rPr>
        <w:t xml:space="preserve">Except as stated below, the depositary will deliver such distributions to ADR holders in proportion to their interests in the following manner: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Cash.</w:t>
            </w:r>
            <w:r>
              <w:rPr>
                <w:rFonts w:ascii="Times New Roman" w:hAnsi="Times New Roman"/>
                <w:sz w:val="20"/>
              </w:rPr>
              <w:t xml:space="preserve"> The depositary will distribute any U.S. dollars available to it resulting from a cash dividend or other cash distribution or the net proceeds of sales of any other distribution or portion thereof (to the extent applicable), on an averaged or other practicable basis, subject to (i) appropriate adjustments for taxes withheld, (ii) such distribution being impermissible or impracticable with respect to certain registered ADR holders, and (iii) deduction of the depositary’s and/or its agents’ expenses in (1) converting any foreign currency to U.S. dollars to the extent that it determines that such conversion may be made on a reasonable basis, (2) transferring foreign currency or U.S. dollars to the United States by such means as the depositary may determine to the extent that it determines that such transfer may be made on a reasonable basis, (3) obtaining any approval or license of any governmental authority required for such conversion or transfer, which is obtainable at a reasonable cost and within a reasonable time and (4) making any sale by public or private means in any commercially reasonable manner. </w:t>
            </w:r>
            <w:r>
              <w:rPr>
                <w:rFonts w:ascii="Times New Roman" w:hAnsi="Times New Roman"/>
                <w:i/>
                <w:sz w:val="20"/>
              </w:rPr>
              <w:t>If exchange rates fluctuate during a time when the depositary cannot convert a foreign currency, you may lose some or all of the value of the distribution.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Shares.</w:t>
            </w:r>
            <w:r>
              <w:rPr>
                <w:rFonts w:ascii="Times New Roman" w:hAnsi="Times New Roman"/>
                <w:sz w:val="20"/>
              </w:rPr>
              <w:t xml:space="preserve"> In the case of a distribution in shares, the depositary will issue additional ADRs to evidence the number of ADSs representing such shares. Only whole ADSs will be issued. Any shares which would result in fractional ADSs will be sold and the net proceeds will be distributed in the same manner as cash to the ADR holders entitled thereto.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Rights to receive additional shares.</w:t>
            </w:r>
            <w:r>
              <w:rPr>
                <w:rFonts w:ascii="Times New Roman" w:hAnsi="Times New Roman"/>
                <w:sz w:val="20"/>
              </w:rPr>
              <w:t xml:space="preserve"> In the case of a distribution of rights to subscribe for additional shares or other rights, if we timely provide evidence satisfactory to the depositary that it may lawfully distribute such rights, the depositary will distribute warrants or other instruments in the discretion of the depositary representing such rights. However, if we do not timely furnish such evidence, the depositary may: </w:t>
            </w:r>
          </w:p>
        </w:tc>
      </w:tr>
    </w:tbl>
    <w:p>
      <w:pPr>
        <w:pStyle w:val="TextBody"/>
        <w:bidi w:val="0"/>
        <w:spacing w:before="120" w:after="0"/>
        <w:jc w:val="left"/>
        <w:rPr>
          <w:rFonts w:ascii="Times New Roman" w:hAnsi="Times New Roman"/>
          <w:sz w:val="20"/>
        </w:rPr>
      </w:pPr>
      <w:r>
        <w:rPr>
          <w:rFonts w:ascii="Times New Roman" w:hAnsi="Times New Roman"/>
          <w:sz w:val="20"/>
        </w:rPr>
        <w:t xml:space="preserve">(i) sell such rights if practicable and distribute the net proceeds in the same manner as cash to the ADR holders entitled thereto; or </w:t>
      </w:r>
    </w:p>
    <w:p>
      <w:pPr>
        <w:pStyle w:val="TextBody"/>
        <w:bidi w:val="0"/>
        <w:spacing w:before="120" w:after="0"/>
        <w:jc w:val="left"/>
        <w:rPr>
          <w:rFonts w:ascii="Times New Roman" w:hAnsi="Times New Roman"/>
          <w:sz w:val="20"/>
        </w:rPr>
      </w:pPr>
      <w:r>
        <w:rPr>
          <w:rFonts w:ascii="Times New Roman" w:hAnsi="Times New Roman"/>
          <w:sz w:val="20"/>
        </w:rPr>
        <w:t xml:space="preserve">(ii) if it is not practicable to sell such rights by reason of the non-transferability of the rights, limited markets therefor, their short duration or otherwise, do nothing and allow such rights to lapse, in which case ADR holders will receive nothing and the rights may lapse.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Other Distributions.</w:t>
            </w:r>
            <w:r>
              <w:rPr>
                <w:rFonts w:ascii="Times New Roman" w:hAnsi="Times New Roman"/>
                <w:sz w:val="20"/>
              </w:rPr>
              <w:t xml:space="preserve"> In the case of a distribution of securities or property other than those described above, the depositary may either (i) distribute such securities or property in any manner it deems equitable and practicable or (ii) to the extent the depositary deems distribution of such securities or property not to be equitable and practicable, sell such securities or property and distribute any net proceeds in the same way it distributes cash.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depositary determines in its discretion that any distribution described above is not practicable with respect to any specific registered ADR holder, the depositary may choose any method of distribution that it deems practicable for such ADR holder, including the distribution of foreign currency, securities or property, or it may retain such items, without paying interest on or investing them, on behalf of the ADR holder as deposited securities, in which case the ADSs will also represent the retained items. </w:t>
      </w:r>
    </w:p>
    <w:p>
      <w:pPr>
        <w:pStyle w:val="TextBody"/>
        <w:bidi w:val="0"/>
        <w:spacing w:before="240" w:after="0"/>
        <w:jc w:val="left"/>
        <w:rPr>
          <w:rFonts w:ascii="Times New Roman" w:hAnsi="Times New Roman"/>
          <w:sz w:val="20"/>
        </w:rPr>
      </w:pPr>
      <w:r>
        <w:rPr>
          <w:rFonts w:ascii="Times New Roman" w:hAnsi="Times New Roman"/>
          <w:sz w:val="20"/>
        </w:rPr>
        <w:t xml:space="preserve">Any U.S. dollars will be distributed by checks drawn on a bank in the United States for whole dollars and cents. Fractional cents will be withheld without liability and dealt with by the depositary in accordance with its then current practices. </w:t>
      </w:r>
    </w:p>
    <w:p>
      <w:pPr>
        <w:pStyle w:val="TextBody"/>
        <w:bidi w:val="0"/>
        <w:spacing w:before="240" w:after="0"/>
        <w:jc w:val="left"/>
        <w:rPr>
          <w:rFonts w:ascii="Times New Roman" w:hAnsi="Times New Roman"/>
          <w:i/>
          <w:sz w:val="20"/>
        </w:rPr>
      </w:pPr>
      <w:r>
        <w:rPr>
          <w:rFonts w:ascii="Times New Roman" w:hAnsi="Times New Roman"/>
          <w:i/>
          <w:sz w:val="20"/>
        </w:rPr>
        <w:t xml:space="preserve">The depositary is not responsible if it fails to determine that any distribution or action is lawful or reasonably practicable. </w:t>
      </w:r>
    </w:p>
    <w:p>
      <w:pPr>
        <w:pStyle w:val="TextBody"/>
        <w:bidi w:val="0"/>
        <w:spacing w:before="360" w:after="0"/>
        <w:jc w:val="left"/>
        <w:rPr>
          <w:rFonts w:ascii="Times New Roman" w:hAnsi="Times New Roman"/>
          <w:i/>
          <w:sz w:val="20"/>
        </w:rPr>
      </w:pPr>
      <w:r>
        <w:rPr>
          <w:rFonts w:ascii="Times New Roman" w:hAnsi="Times New Roman"/>
          <w:i/>
          <w:sz w:val="20"/>
        </w:rPr>
        <w:t xml:space="preserve">There can be no assurance that the depositary will be able to convert any currency at a specified exchange rate or sell any property, rights, shares or other securities at a specified price, nor that any of such transactions can be completed within a specified time period. All purchases and sales of securities will be handled by the depositary in accordance with its then current policies, which are currently set forth in the “Depositary Receipt Sale and Purchase of Security” section of https://www.adr.com/Investors/FindOutAboutDRs, the location and contents of which the depositary shall be solely responsible for. </w:t>
      </w:r>
    </w:p>
    <w:p>
      <w:pPr>
        <w:pStyle w:val="TextBody"/>
        <w:bidi w:val="0"/>
        <w:spacing w:before="360" w:after="0"/>
        <w:jc w:val="left"/>
        <w:rPr>
          <w:rFonts w:ascii="Times New Roman" w:hAnsi="Times New Roman"/>
          <w:b/>
          <w:sz w:val="20"/>
        </w:rPr>
      </w:pPr>
      <w:r>
        <w:rPr>
          <w:rFonts w:ascii="Times New Roman" w:hAnsi="Times New Roman"/>
          <w:b/>
          <w:sz w:val="20"/>
        </w:rPr>
        <w:t xml:space="preserve">Deposit, Withdrawal and Cancellation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How does the depositary issue ADSs?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will issue ADSs if you or your broker deposit shares or evidence of rights to receive shares with the custodian and pay the fees and expenses owing to the depositary in connection with such issuance. In the case of the ADSs to be issued under this prospectus, we will arrange with the underwriters named herein to deposit such shares. </w:t>
      </w:r>
    </w:p>
    <w:p>
      <w:pPr>
        <w:pStyle w:val="TextBody"/>
        <w:bidi w:val="0"/>
        <w:spacing w:before="240" w:after="0"/>
        <w:jc w:val="left"/>
        <w:rPr>
          <w:rFonts w:ascii="Times New Roman" w:hAnsi="Times New Roman"/>
          <w:sz w:val="20"/>
        </w:rPr>
      </w:pPr>
      <w:r>
        <w:rPr>
          <w:rFonts w:ascii="Times New Roman" w:hAnsi="Times New Roman"/>
          <w:sz w:val="20"/>
        </w:rPr>
        <w:t xml:space="preserve">Shares deposited in the future with the custodian must be accompanied by certain delivery documentation and shall, at the time of such deposit, be registered in the name of JPMorgan Chase Bank, N.A., as depositary for the benefit of holders of ADRs or in such other name as the depositary shall direct. </w:t>
      </w:r>
    </w:p>
    <w:p>
      <w:pPr>
        <w:pStyle w:val="TextBody"/>
        <w:bidi w:val="0"/>
        <w:spacing w:before="240" w:after="0"/>
        <w:jc w:val="left"/>
        <w:rPr>
          <w:rFonts w:ascii="Times New Roman" w:hAnsi="Times New Roman"/>
          <w:sz w:val="20"/>
        </w:rPr>
      </w:pPr>
      <w:r>
        <w:rPr>
          <w:rFonts w:ascii="Times New Roman" w:hAnsi="Times New Roman"/>
          <w:sz w:val="20"/>
        </w:rPr>
        <w:t xml:space="preserve">The custodian will hold all deposited shares (including those being deposited by or on our behalf in connection with the offering to which this prospectus relates) for the account and to the order of the depositary,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each case for the benefit of ADR holders. ADR holders and beneficial owners thus have no direct ownership interest in the shares and only have such rights as are contained in the deposit agreement. The custodian will also hold any additional securities, property and cash received on or in substitution for the deposited shares. The deposited shares and any such additional items are referred to as “deposited securities.” </w:t>
      </w:r>
    </w:p>
    <w:p>
      <w:pPr>
        <w:pStyle w:val="TextBody"/>
        <w:bidi w:val="0"/>
        <w:spacing w:before="240" w:after="0"/>
        <w:jc w:val="left"/>
        <w:rPr>
          <w:rFonts w:ascii="Times New Roman" w:hAnsi="Times New Roman"/>
          <w:sz w:val="20"/>
        </w:rPr>
      </w:pPr>
      <w:r>
        <w:rPr>
          <w:rFonts w:ascii="Times New Roman" w:hAnsi="Times New Roman"/>
          <w:sz w:val="20"/>
        </w:rPr>
        <w:t xml:space="preserve">Deposited securities are not intended to, and shall not, constitute proprietary assets of the depositary, the custodian or their nominees. Beneficial ownership in deposited securities is intended to be, and shall at all times during the term of the deposit agreement continue to be, vested in the beneficial owners of the ADSs representing such deposited securities. Notwithstanding anything else contained herein, in the deposit agreement, in the form of ADR and/or in any outstanding ADSs, the depositary, the custodian and their respective nominees are intended to be, and shall at all times during the term of the deposit agreement be, the record holder(s) only of the deposited securities represented by the ADSs for the benefit of the ADR holders. The depositary, on its own behalf and on behalf of the custodian and their respective nominees, disclaims any beneficial ownership interest in the deposited securities held on behalf of the ADR holders. </w:t>
      </w:r>
    </w:p>
    <w:p>
      <w:pPr>
        <w:pStyle w:val="TextBody"/>
        <w:bidi w:val="0"/>
        <w:spacing w:before="240" w:after="0"/>
        <w:jc w:val="left"/>
        <w:rPr>
          <w:rFonts w:ascii="Times New Roman" w:hAnsi="Times New Roman"/>
          <w:sz w:val="20"/>
        </w:rPr>
      </w:pPr>
      <w:r>
        <w:rPr>
          <w:rFonts w:ascii="Times New Roman" w:hAnsi="Times New Roman"/>
          <w:sz w:val="20"/>
        </w:rPr>
        <w:t xml:space="preserve">Upon each deposit of shares, receipt of related delivery documentation and compliance with the other provisions of the deposit agreement, including the payment of the fees and charges of the depositary and any taxes or other fees or charges owing, the depositary will issue an ADR or ADRs in the name or upon the order of the person entitled thereto evidencing the number of ADSs to which such person is entitled. All of the ADSs issued will, unless specifically requested to the contrary, be part of the depositary’s direct registration system, and a registered holder will receive periodic statements from the depositary which will show the number of ADSs registered in such holder’s name. An ADR holder can request that the ADSs not be held through the depositary’s direct registration system and that a certificated ADR be issued. </w:t>
      </w:r>
    </w:p>
    <w:p>
      <w:pPr>
        <w:pStyle w:val="TextBody"/>
        <w:bidi w:val="0"/>
        <w:spacing w:before="360" w:after="0"/>
        <w:jc w:val="left"/>
        <w:rPr>
          <w:rFonts w:ascii="Times New Roman" w:hAnsi="Times New Roman"/>
          <w:b/>
          <w:i/>
          <w:sz w:val="20"/>
        </w:rPr>
      </w:pPr>
      <w:r>
        <w:rPr>
          <w:rFonts w:ascii="Times New Roman" w:hAnsi="Times New Roman"/>
          <w:b/>
          <w:i/>
          <w:sz w:val="20"/>
        </w:rPr>
        <w:t xml:space="preserve">How do ADR holders cancel an ADS and obtain deposited securities? </w:t>
      </w:r>
    </w:p>
    <w:p>
      <w:pPr>
        <w:pStyle w:val="TextBody"/>
        <w:bidi w:val="0"/>
        <w:spacing w:before="120" w:after="0"/>
        <w:jc w:val="left"/>
        <w:rPr>
          <w:rFonts w:ascii="Times New Roman" w:hAnsi="Times New Roman"/>
          <w:sz w:val="20"/>
        </w:rPr>
      </w:pPr>
      <w:r>
        <w:rPr>
          <w:rFonts w:ascii="Times New Roman" w:hAnsi="Times New Roman"/>
          <w:sz w:val="20"/>
        </w:rPr>
        <w:t xml:space="preserve">When you turn in your ADR certificate at the depositary’s office, or when you provide proper instructions and documentation in the case of direct registration ADSs, the depositary will, upon payment of certain applicable fees, charges and taxes, deliver the underlying shares to you or upon your written order. Delivery of deposited securities in certificated form will be made at the custodian’s office. At your risk, expense and request, the depositary may deliver deposited securities at such other place as you may request. </w:t>
      </w:r>
    </w:p>
    <w:p>
      <w:pPr>
        <w:pStyle w:val="TextBody"/>
        <w:bidi w:val="0"/>
        <w:spacing w:before="240" w:after="0"/>
        <w:jc w:val="left"/>
        <w:rPr>
          <w:rFonts w:ascii="Times New Roman" w:hAnsi="Times New Roman"/>
          <w:sz w:val="20"/>
        </w:rPr>
      </w:pPr>
      <w:r>
        <w:rPr>
          <w:rFonts w:ascii="Times New Roman" w:hAnsi="Times New Roman"/>
          <w:sz w:val="20"/>
        </w:rPr>
        <w:t xml:space="preserve">The depositary may only restrict the withdrawal of deposited securities in connection with: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temporary delays caused by closing our transfer books or those of the depositary or the deposit of shares in connection with voting at a shareholders’ meeting, or the payment of dividends;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payment of fees, taxes and similar charges;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any U.S. or foreign laws or governmental regulations relating to the ADRs or to the withdrawal of deposited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right of withdrawal may not be limited by any other provision of the deposit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Record Dates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may, after consultation with us if practicable, fix record dates (which, to the extent applicable, shall be as near as practicable to any corresponding record dates set by us) for the determination of the registered ADR holders who will be entitled (or obligated, as the case may be):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receive any distribution on or in respect of deposited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give instructions for the exercise of voting rights at a meeting of holders of shares,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pay the fee assessed by the depositary for administration of the ADR program and for any expenses as provided for in the ADR,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receive any notice or to act in respect of other matters,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subject to the provisions of the deposit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Voting Rights </w:t>
      </w:r>
    </w:p>
    <w:p>
      <w:pPr>
        <w:pStyle w:val="TextBody"/>
        <w:bidi w:val="0"/>
        <w:spacing w:before="120" w:after="0"/>
        <w:jc w:val="left"/>
        <w:rPr>
          <w:rFonts w:ascii="Times New Roman" w:hAnsi="Times New Roman"/>
          <w:b/>
          <w:i/>
          <w:sz w:val="20"/>
        </w:rPr>
      </w:pPr>
      <w:r>
        <w:rPr>
          <w:rFonts w:ascii="Times New Roman" w:hAnsi="Times New Roman"/>
          <w:b/>
          <w:i/>
          <w:sz w:val="20"/>
        </w:rPr>
        <w:t xml:space="preserve">How do I vote? </w:t>
      </w:r>
    </w:p>
    <w:p>
      <w:pPr>
        <w:pStyle w:val="TextBody"/>
        <w:bidi w:val="0"/>
        <w:spacing w:before="120" w:after="0"/>
        <w:jc w:val="left"/>
        <w:rPr>
          <w:rFonts w:ascii="Times New Roman" w:hAnsi="Times New Roman"/>
          <w:sz w:val="20"/>
        </w:rPr>
      </w:pPr>
      <w:r>
        <w:rPr>
          <w:rFonts w:ascii="Times New Roman" w:hAnsi="Times New Roman"/>
          <w:sz w:val="20"/>
        </w:rPr>
        <w:t xml:space="preserve">If you are an ADR holder and the depositary asks you to provide it with voting instructions, you may instruct the depositary how to exercise the voting rights for the shares which underlie your ADSs. As soon as practicable after receipt from us of notice of any meeting at which the holders of shares are entitled to vote, or of our solicitation of consents or proxies from holders of shares, the depositary shall fix the ADS record date in accordance with the provisions of the deposit agreement, provided that if the depositary receives a written request from us in a timely manner and at least 30 days prior to the date of such vote or meeting, the depositary shall, at our expense, distribute to the registered ADR holders a “voting notice” stating (i) final information particular to such vote and meeting and any solicitation materials, (ii) that each ADR holder on the record date set by the depositary will, subject to any applicable provisions of Cayman Islands law, be entitled to instruct the depositary as to the exercise of the voting rights, if any, pertaining to the deposited securities represented by the ADSs evidenced by such ADR holder’s ADRs and (iii) the manner in which such instructions may be given, or deemed to be given pursuant to the terms of the deposit agreement, including instructions for giving a discretionary proxy to a person designated by us. Each ADR holder shall be solely responsible for the forwarding of voting notices to the beneficial owners of ADSs registered in such ADR holder’s name. There is no guarantee that ADR holders and beneficial owners generally or any holder or beneficial owner in particular will receive the notice described above with sufficient time to enable such ADR holder or beneficial owner to return any voting instructions to the depositary in a timely manner. </w:t>
      </w:r>
    </w:p>
    <w:p>
      <w:pPr>
        <w:pStyle w:val="TextBody"/>
        <w:bidi w:val="0"/>
        <w:spacing w:before="240" w:after="0"/>
        <w:jc w:val="left"/>
        <w:rPr>
          <w:rFonts w:ascii="Times New Roman" w:hAnsi="Times New Roman"/>
          <w:sz w:val="20"/>
        </w:rPr>
      </w:pPr>
      <w:r>
        <w:rPr>
          <w:rFonts w:ascii="Times New Roman" w:hAnsi="Times New Roman"/>
          <w:sz w:val="20"/>
        </w:rPr>
        <w:t xml:space="preserve">Following actual receipt by the ADR department responsible for proxies and voting of ADR holders’ instructions (including, without limitation, instructions of any entity or entities acting on behalf of the nominee for DTC), the depositary shall, in the manner and on or before the time established by the depositary for such purpose, endeavor to vote or cause to be voted the deposited securities represented by the ADSs evidenced by such ADR holders’ ADRs in accordance with such instructions insofar as practicable and permitted under the provisions of or governing deposited securities.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(A) we have provided the depositary with at least 35 days’ notice of the proposed meeting, (B) the voting notice will be received by all ADR holders and beneficial owners no less than 10 days prior to the date of the meeting and/or the cut-off date for the solicitation of consents, and (C) the depositary does not receive instructions on a particular agenda item from an ADR holder (including, without limitation, any entity or entities acting on behalf of the nominee for DTC) in a timely manner, such ADR holder shall be deemed, and in the deposit agreement the depositary is instructed to deem such ADR holder, to have instructed the depositary to give a discretionary proxy for such agenda item(s) to a person designated by us to vote the deposited securities represented by the ADSs for which actual instructions were not so given by all such ADR holders on such agenda item(s), provided that no such instruction shall be deemed given and no discretionary proxy shall be given unless (1) we inform the depositary in writing (and we agree to provide the depositary with such instruction promptly in writing) that (a) we wish such proxy to be given with respect to such agenda item(s), (b) there is no substantial opposition existing with respect to such agenda item(s) and (c) such agenda item(s), if approved, would not materially or adversely affect the rights of holders of shares, and (2) the depositary has obtained an opinion of counsel, in form and substance satisfactory to the depositary, confirming that (i) the granting of such discretionary proxy does not subject the depositary to any reporting obligations in the Cayman Islands, (ii) the granting of such proxy will not result in a violation of the laws, rules, regulations or permits of the Cayman Islands, (iii) the voting arrangement and deemed instruction as contemplated herein will be given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effect under the laws, rules and regulations of the Cayman Islands, and (iv) the granting of such discretionary proxy will not under any circumstances result in the shares represented by the ADSs being treated as assets of the depositary under the laws, rules or regulations of the Cayman Islands. </w:t>
      </w:r>
    </w:p>
    <w:p>
      <w:pPr>
        <w:pStyle w:val="TextBody"/>
        <w:bidi w:val="0"/>
        <w:spacing w:before="240" w:after="0"/>
        <w:jc w:val="left"/>
        <w:rPr>
          <w:rFonts w:ascii="Times New Roman" w:hAnsi="Times New Roman"/>
          <w:sz w:val="20"/>
        </w:rPr>
      </w:pPr>
      <w:r>
        <w:rPr>
          <w:rFonts w:ascii="Times New Roman" w:hAnsi="Times New Roman"/>
          <w:sz w:val="20"/>
        </w:rPr>
        <w:t xml:space="preserve">The depositary may from time to time access information available to it to consider whether any of the circumstances described above exist, or request additional information from us in respect thereto. By taking any such action, the depositary shall not in any way be deemed or inferred to have been required, or have had any duty or responsibility (contractual or otherwise), to monitor or inquire whether any of the circumstances described above existed. In addition to the limitations provided for in the deposit agreement, ADR holders and beneficial owners are advised and agree that (a) the depositary will rely fully and exclusively on us to inform it of any of the circumstances set forth above, and (b) neither the depositary, the custodian nor any of their respective agents shall be obliged to inquire or investigate whether any of the circumstances described above exist and/or whether we complied with our obligation to timely inform the depositary of such circumstances. Neither the depositary, the custodian nor any of their respective agents shall incur any liability to ADR holders or beneficial owners (i) as a result of our failure to determine that any of the circumstances described above exist or our failure to timely notify the depositary of any such circumstances or (ii) if any agenda item which is approved at a meeting has, or is claimed to have, a material or adverse effect on the rights of holders of shares. Because there is no guarantee that ADR holders and beneficial owners will receive the notices described above with sufficient time to enable such ADR holders or beneficial owners to return any voting instructions to the depositary in a timely manner, ADR holders and beneficial owners may be deemed to have instructed the depositary to give a discretionary proxy to a person designated by us in such circumstances, and neither the depositary, the custodian nor any of their respective agents shall incur any liability to ADR holders or beneficial owners in such circumstances. </w:t>
      </w:r>
    </w:p>
    <w:p>
      <w:pPr>
        <w:pStyle w:val="TextBody"/>
        <w:bidi w:val="0"/>
        <w:spacing w:before="240" w:after="0"/>
        <w:jc w:val="left"/>
        <w:rPr>
          <w:rFonts w:ascii="Times New Roman" w:hAnsi="Times New Roman"/>
          <w:sz w:val="20"/>
        </w:rPr>
      </w:pPr>
      <w:r>
        <w:rPr>
          <w:rFonts w:ascii="Times New Roman" w:hAnsi="Times New Roman"/>
          <w:sz w:val="20"/>
        </w:rPr>
        <w:t>ADR holders are strongly encouraged to forward their voting instructions to the depositary as soon as possible. For instructions to be valid, the ADR department of the depositary that is responsible for proxies and voting must receive them in the manner and on or before the time specified, notwithstanding that such instructions may have been physically received by the depositary prior to such time. The depositary will not itself exercise any voting discretion in respect of deposited securities. The depositary and its agents will not be responsible for any failure to carry out any instructions to vote any of the deposited securities, for the manner in which any voting instructions are given, or deemed to be given pursuant to the terms of the deposit agreement, including instructions to give a discretionary proxy to a person designated by us, for the manner in which any vote is cast, including, without limitation, any vote cast by a person to whom the depositary is instructed to grant a discretionary proxy (or deemed to have been instructed pursuant to the terms of the deposit agreement), or for the effect of any such vote. Notwithstanding anything contained in the deposit agreement or any ADR, the depositary may, to the extent not prohibited by any law, regulation, or requirement of the stock exchange on which the ADSs are listed, in lieu of distribution of the materials provided to the depositary in connection with any meeting of or solicitation of consents or proxies from holders of deposited securities, distribute to the registered holders of ADRs a notice that provides such ADR holders with or otherwise publicizes to such ADR holders instructions on how to retrieve such materials or receive such materials upon request (</w:t>
      </w:r>
      <w:r>
        <w:rPr>
          <w:rFonts w:ascii="Times New Roman" w:hAnsi="Times New Roman"/>
          <w:i/>
          <w:sz w:val="20"/>
        </w:rPr>
        <w:t>i.e.</w:t>
      </w:r>
      <w:r>
        <w:rPr>
          <w:rFonts w:ascii="Times New Roman" w:hAnsi="Times New Roman"/>
          <w:sz w:val="20"/>
        </w:rPr>
        <w:t xml:space="preserve">, by reference to a website containing the materials for retrieval or a contact for requesting copies of the materials). </w:t>
      </w:r>
    </w:p>
    <w:p>
      <w:pPr>
        <w:pStyle w:val="TextBody"/>
        <w:bidi w:val="0"/>
        <w:spacing w:before="240" w:after="0"/>
        <w:jc w:val="left"/>
        <w:rPr>
          <w:rFonts w:ascii="Times New Roman" w:hAnsi="Times New Roman"/>
          <w:sz w:val="20"/>
        </w:rPr>
      </w:pPr>
      <w:r>
        <w:rPr>
          <w:rFonts w:ascii="Times New Roman" w:hAnsi="Times New Roman"/>
          <w:sz w:val="20"/>
        </w:rPr>
        <w:t xml:space="preserve">We have advised the depositary that under Cayman Islands law and our constituent documents, each as in effect as of the date of the deposit agreement, voting at any meeting of shareholders is by show of hands unless a poll is (before or on the declaration of the results of the show of hands) demanded. In the event that voting on any resolution or matter is conducted on a show of hands basis in accordance with our constituent documents, the depositary will refrain from voting and the voting instructions received by the depositary from ADR holders shall lapse. The depositary will not demand a poll or join in demanding a poll, whether or not requested to do so by ADR holders or beneficial owners. </w:t>
      </w:r>
    </w:p>
    <w:p>
      <w:pPr>
        <w:pStyle w:val="TextBody"/>
        <w:bidi w:val="0"/>
        <w:spacing w:before="240" w:after="0"/>
        <w:jc w:val="left"/>
        <w:rPr>
          <w:rFonts w:ascii="Times New Roman" w:hAnsi="Times New Roman"/>
          <w:sz w:val="20"/>
        </w:rPr>
      </w:pPr>
      <w:r>
        <w:rPr>
          <w:rFonts w:ascii="Times New Roman" w:hAnsi="Times New Roman"/>
          <w:sz w:val="20"/>
        </w:rPr>
        <w:t xml:space="preserve">There is no guarantee that you will receive voting materials in time to instruct the depositary to vote and it is possible that you, or persons who hold their ADSs through brokers, dealers or other third parties, will not have the opportunity to exercise a right to vote.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Reports and Other Communications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Will ADR holders be able to view our reports?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will make available for inspection by ADR holders at the offices of the depositary and the custodian the deposit agreement, the provisions of or governing deposited securities, and any written communications from us which are both received by the custodian or its nominee as a holder of deposited securities and made generally available to the holders of deposited securities. </w:t>
      </w:r>
    </w:p>
    <w:p>
      <w:pPr>
        <w:pStyle w:val="TextBody"/>
        <w:bidi w:val="0"/>
        <w:spacing w:before="240" w:after="0"/>
        <w:jc w:val="left"/>
        <w:rPr>
          <w:rFonts w:ascii="Times New Roman" w:hAnsi="Times New Roman"/>
          <w:sz w:val="20"/>
        </w:rPr>
      </w:pPr>
      <w:r>
        <w:rPr>
          <w:rFonts w:ascii="Times New Roman" w:hAnsi="Times New Roman"/>
          <w:sz w:val="20"/>
        </w:rPr>
        <w:t xml:space="preserve">Additionally, if we make any written communications generally available to holders of our shares, and we furnish copies thereof (or English translations or summaries) to the depositary, it will distribute the same to registered ADR holders. </w:t>
      </w:r>
    </w:p>
    <w:p>
      <w:pPr>
        <w:pStyle w:val="TextBody"/>
        <w:bidi w:val="0"/>
        <w:spacing w:before="360" w:after="0"/>
        <w:jc w:val="left"/>
        <w:rPr>
          <w:rFonts w:ascii="Times New Roman" w:hAnsi="Times New Roman"/>
          <w:b/>
          <w:sz w:val="20"/>
        </w:rPr>
      </w:pPr>
      <w:r>
        <w:rPr>
          <w:rFonts w:ascii="Times New Roman" w:hAnsi="Times New Roman"/>
          <w:b/>
          <w:sz w:val="20"/>
        </w:rPr>
        <w:t xml:space="preserve">Fees and Expenses </w:t>
      </w:r>
    </w:p>
    <w:p>
      <w:pPr>
        <w:pStyle w:val="TextBody"/>
        <w:bidi w:val="0"/>
        <w:spacing w:before="120" w:after="0"/>
        <w:jc w:val="left"/>
        <w:rPr>
          <w:rFonts w:ascii="Times New Roman" w:hAnsi="Times New Roman"/>
          <w:b/>
          <w:i/>
          <w:sz w:val="20"/>
        </w:rPr>
      </w:pPr>
      <w:r>
        <w:rPr>
          <w:rFonts w:ascii="Times New Roman" w:hAnsi="Times New Roman"/>
          <w:b/>
          <w:i/>
          <w:sz w:val="20"/>
        </w:rPr>
        <w:t xml:space="preserve">What fees and expenses will I be responsible for paying?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may charge each person to whom ADSs are issued, including, without limitation, issuances against deposits of shares, issuances in respect of share distributions, rights and other distributions, issuances pursuant to a stock dividend or stock split declared by us or issuances pursuant to a merger, exchange of securities or any other transaction or event affecting the ADSs or deposited securities, and each person surrendering ADSs for withdrawal of deposited securities or whose ADRs are cancelled or reduced for any other reason, $5.00 for each 100 ADSs (or any portion thereof) issued, delivered, reduced, canceled or surrendered, or upon which a share distribution or elective distribution is made or offered, as the case may be. The depositary may sell (by public or private sale) sufficient securities and property received in respect of a share distribution, rights and/or other distribution prior to such deposit to pay such charge.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additional charges shall also be incurred by the ADR holders, the beneficial owners, by any party depositing or withdrawing shares or by any party surrendering ADSs and/or to whom ADSs are issued (including, without limitation, issuance pursuant to a stock dividend or stock split declared by us or an exchange of stock regarding the ADSs or the deposited securities or a distribution of ADSs), whichever is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fee of U.S.$0.05 or less per ADS held for any cash distribution made, or for any elective cash/stock dividend offered, pursuant to the deposit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aggregate fee of U.S.$0.05 or less per ADS per calendar year (or portion thereof) for services performed by the depositary in administering the ADRs (which fee may be charged on a periodic basis during each calendar year and shall be assessed against holders of ADRs as of the record date or record dates set by the depositary during each calendar year and shall be payable in the manner described in the next succeeding provision);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fee for the reimbursement of such fees, charges and expenses as are incurred by the depositary and/or any of its agents (including, without limitation, the custodian and expenses incurred on behalf of ADR holders in connection with compliance with foreign exchange control regulations or any law or regulation relating to foreign investment) in connection with the servicing of the shares or other deposited securities, the sale of securities (including, without limitation, deposited securities), the delivery of deposited securities or otherwise in connection with the depositary’s or its custodian’s compliance with applicable law, rule or regulation (which fees and charges shall be assessed on a proportionate basis against ADR holders as of the record date or dates set by the depositary and shall be payable at the sole discretion of the depositary by billing such ADR holders or by deducting such charge from one or more cash dividends or other cash distributions);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fee for the distribution of securities (or the sale of securities in connection with a distribution), such fee being in an amount equal to the $0.05 per ADS issuance fee for the execution and delivery of ADSs which would have been charged as a result of the deposit of such securities (treating all such securities as if they were shares) but which securities or the net cash proceeds from the sale thereof are instead distributed by the depositary to those ADR holders entitled thereto;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stock transfer or other taxes and other governmental charges;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SWIFT, cable, telex and facsimile transmission and delivery charges incurred at your request in connection with the deposit or delivery of shares, ADRs or deposited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transfer or registration fees for the registration of transfer of deposited securities on any applicable register in connection with the deposit or withdrawal of deposited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fees of any division, branch or affiliate of the depositary utilized by the depositary to direct, manage and/or execute any public and/or private sale of securities under the deposit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facilitate the administration of various depositary receipt transactions, including disbursement of dividends or other cash distributions and other corporate actions, the depositary may engage the foreign exchange desk within JPMorgan Chase Bank, N.A., or the Bank, and/or its affiliates in order to enter into spot foreign exchange transactions to convert foreign currency into U.S. dollars. For certain currencies, foreign exchange transactions are entered into with the Bank or an affiliate, as the case may be, acting in a principal capacity. For other currencies, foreign exchange transactions are routed directly to and managed by an unaffiliated local custodian (or other third party local liquidity provider), and neither the Bank nor any of its affiliates is a party to such foreign exchange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foreign exchange rate applied to an foreign exchange transaction will be either (a) a published benchmark rate, or (b) a rate determined by a third party local liquidity provider, in each case plus or minus a spread, as applicable. The depositary will disclose which foreign exchange rate and spread, if any, apply to such currency on the “Disclosure” page (or successor page) of www.adr.com. Such applicable foreign exchange rate and spread may (and neither the depositary, the Bank nor any of their affiliates is under any obligation to ensure that such rate does not) differ from rates and spreads at which comparable transactions are entered into with other customers or the range of foreign exchange rates and spreads at which the Bank or any of its affiliates enters into foreign exchange transactions in the relevant currency pair on the date of the foreign exchange transaction. Additionally, the timing of execution of an foreign exchange transaction varies according to local market dynamics, which may include regulatory requirements, market hours and liquidity in the foreign exchange market or other factors. Furthermore, the Bank and its affiliates may manage the associated risks of their position in the market in a manner they deem appropriate without regard to the impact of such activities on the depositary, us, holders or beneficial owners. </w:t>
      </w:r>
      <w:r>
        <w:rPr>
          <w:rFonts w:ascii="Times New Roman" w:hAnsi="Times New Roman"/>
          <w:i/>
          <w:sz w:val="20"/>
        </w:rPr>
        <w:t>The spread applied does not reflect any gains or losses that may be earned or incurred by the Bank and its affiliates as a result of risk management or other hedging related activity.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to the extent we provide U.S. dollars to the depositary, neither the Bank nor any of its affiliates will execute a foreign exchange transaction as set forth herein. In such case, the depositary will distribute the U.S. dollars received from us. </w:t>
      </w:r>
    </w:p>
    <w:p>
      <w:pPr>
        <w:pStyle w:val="TextBody"/>
        <w:bidi w:val="0"/>
        <w:spacing w:before="360" w:after="0"/>
        <w:jc w:val="left"/>
        <w:rPr>
          <w:rFonts w:ascii="Times New Roman" w:hAnsi="Times New Roman"/>
          <w:i/>
          <w:sz w:val="20"/>
        </w:rPr>
      </w:pPr>
      <w:r>
        <w:rPr>
          <w:rFonts w:ascii="Times New Roman" w:hAnsi="Times New Roman"/>
          <w:i/>
          <w:sz w:val="20"/>
        </w:rPr>
        <w:t xml:space="preserve">Further details relating to the applicable foreign exchange rate, the applicable spread and the execution of foreign exchange transactions will be provided by the depositary on ADR.com. Each holder and beneficial owner by holding or owning an ADR or ADS or an interest therein, and we, each acknowledge and agree that the terms applicable to foreign exchange transactions disclosed from time to time on ADR.com will apply to any foreign exchange transaction executed pursuant to the deposit agreement. </w:t>
      </w:r>
    </w:p>
    <w:p>
      <w:pPr>
        <w:pStyle w:val="TextBody"/>
        <w:bidi w:val="0"/>
        <w:spacing w:before="240" w:after="0"/>
        <w:jc w:val="left"/>
        <w:rPr>
          <w:rFonts w:ascii="Times New Roman" w:hAnsi="Times New Roman"/>
          <w:sz w:val="20"/>
        </w:rPr>
      </w:pPr>
      <w:r>
        <w:rPr>
          <w:rFonts w:ascii="Times New Roman" w:hAnsi="Times New Roman"/>
          <w:sz w:val="20"/>
        </w:rPr>
        <w:t xml:space="preserve">We will pay all other charges and expenses of the depositary and any agent of the depositary (except the custodian) pursuant to agreements from time to time between us and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The right of the depositary to receive payment of fees, charges and expenses survives the termination of the deposit agreement, and shall extend for those fees, charges and expenses incurred prior to the effectiveness of any resignation or removal of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The fees and charges described above may be amended from time to time by agreement between us and the depositary.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depositary may make available to us a set amount or a portion of the depositary fees charged in respect of the ADR program or otherwise upon such terms and conditions as we and the depositary may agree from time to time. The depositary collects its fees for issuance and cancellation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will generally set off the amounts owing from distributions made to holders of ADSs. If, however, no distribution exists and payment owing is not timely received by the depositary, the depositary may refuse to provide any further services to ADR holders that have not paid those fees and expenses owing until such fees and expenses have been paid. At the discretion of the depositary, all fees and charges owing under the deposit agreement are due in advance and/or when declared owing by the depositary. </w:t>
      </w:r>
    </w:p>
    <w:p>
      <w:pPr>
        <w:pStyle w:val="TextBody"/>
        <w:bidi w:val="0"/>
        <w:spacing w:before="360" w:after="0"/>
        <w:jc w:val="left"/>
        <w:rPr>
          <w:rFonts w:ascii="Times New Roman" w:hAnsi="Times New Roman"/>
          <w:b/>
          <w:sz w:val="20"/>
        </w:rPr>
      </w:pPr>
      <w:r>
        <w:rPr>
          <w:rFonts w:ascii="Times New Roman" w:hAnsi="Times New Roman"/>
          <w:b/>
          <w:sz w:val="20"/>
        </w:rPr>
        <w:t xml:space="preserve">Payment of Taxes </w:t>
      </w:r>
    </w:p>
    <w:p>
      <w:pPr>
        <w:pStyle w:val="TextBody"/>
        <w:bidi w:val="0"/>
        <w:spacing w:before="120" w:after="0"/>
        <w:jc w:val="left"/>
        <w:rPr>
          <w:rFonts w:ascii="Times New Roman" w:hAnsi="Times New Roman"/>
          <w:sz w:val="20"/>
        </w:rPr>
      </w:pPr>
      <w:r>
        <w:rPr>
          <w:rFonts w:ascii="Times New Roman" w:hAnsi="Times New Roman"/>
          <w:sz w:val="20"/>
        </w:rPr>
        <w:t xml:space="preserve">ADR holders or beneficial owners must pay any tax or other governmental charge payable by the custodian or the depositary on any ADS or ADR, deposited security or distribution. If any taxes or other governmental charges (including any penalties and/or interest) shall become payable by or on behalf of the custodian or the depositary with respect to any ADR, any deposited securities represented by the ADSs evidenced thereby or any distribution thereon, including, without limitation, any Chinese Enterprise Income Tax owing if the SAT Circular 82 issued by the SAT or any other circular, edict, order or ruling, as issued and as from time to time amended, is applied or otherwise, such tax or other governmental charge shall be paid by the ADR holder thereof to the depositary and by holding or owning, or having held or owned, an ADR or any ADSs evidenced thereby, the ADR holder and all beneficial owners thereof, and all prior ADR holders and beneficial owners thereof, jointly and severally, agree to indemnify, defend and save harmless each of the depositary and its agents in respect of such tax or other governmental charge. Notwithstanding the depositary’s right to seek payment from current and former beneficial owners, by holding or owning, or having held or owned, an ADR, the ADR holder thereof (and prior ADR holder thereof) acknowledges and agrees that the depositary has no obligation to seek payment of amounts owing from any current or former beneficial owner. If an ADR holder owes any tax or other governmental charge, the depositary may (i) deduct the amount thereof from any cash distributions, or (ii) sell deposited securities (by public or private sale) and deduct the amount owing from the net proceeds of such sale. In either case the ADR holder remains liable for any shortfall. If any tax or governmental charge is unpaid, the depositary may also refuse to effect any registration, registration of transfer, split-up or combination of deposited securities or withdrawal of deposited securities until such payment is made. If any tax or governmental charge is required to be withheld on any cash distribution, the depositary may deduct the amount required to be withheld from any cash distribution or, in the case of a non-cash distribution, sell the distributed property or securities (by public or private sale) in such amounts and in such manner as the depositary deems necessary and practicable to pay such taxes and distribute any remaining net proceeds or the balance of any such property after deduction of such taxes to the ADR holders entitled thereto. </w:t>
      </w:r>
    </w:p>
    <w:p>
      <w:pPr>
        <w:pStyle w:val="TextBody"/>
        <w:bidi w:val="0"/>
        <w:spacing w:before="240" w:after="0"/>
        <w:jc w:val="left"/>
        <w:rPr>
          <w:rFonts w:ascii="Times New Roman" w:hAnsi="Times New Roman"/>
          <w:sz w:val="20"/>
        </w:rPr>
      </w:pPr>
      <w:r>
        <w:rPr>
          <w:rFonts w:ascii="Times New Roman" w:hAnsi="Times New Roman"/>
          <w:sz w:val="20"/>
        </w:rPr>
        <w:t xml:space="preserve">As an ADR holder or beneficial owner, you will be agreeing to indemnify us, the depositary, its custodian and any of our or their respective officers,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 </w:t>
      </w:r>
    </w:p>
    <w:p>
      <w:pPr>
        <w:pStyle w:val="TextBody"/>
        <w:bidi w:val="0"/>
        <w:spacing w:before="360" w:after="0"/>
        <w:jc w:val="left"/>
        <w:rPr>
          <w:rFonts w:ascii="Times New Roman" w:hAnsi="Times New Roman"/>
          <w:b/>
          <w:sz w:val="20"/>
        </w:rPr>
      </w:pPr>
      <w:r>
        <w:rPr>
          <w:rFonts w:ascii="Times New Roman" w:hAnsi="Times New Roman"/>
          <w:b/>
          <w:sz w:val="20"/>
        </w:rPr>
        <w:t xml:space="preserve">Reclassifications, Recapitalizations and Mergers </w:t>
      </w:r>
    </w:p>
    <w:p>
      <w:pPr>
        <w:pStyle w:val="TextBody"/>
        <w:bidi w:val="0"/>
        <w:spacing w:before="120" w:after="0"/>
        <w:jc w:val="left"/>
        <w:rPr>
          <w:rFonts w:ascii="Times New Roman" w:hAnsi="Times New Roman"/>
          <w:sz w:val="20"/>
        </w:rPr>
      </w:pPr>
      <w:r>
        <w:rPr>
          <w:rFonts w:ascii="Times New Roman" w:hAnsi="Times New Roman"/>
          <w:sz w:val="20"/>
        </w:rPr>
        <w:t xml:space="preserve">If we take certain actions that affect the deposited securities, including (i) any change in par value, split-up, consolidation, cancellation or other reclassification of deposited securities or (ii) any distributions of shares or other property not made to holders of ADRs or (iii) any recapitalization, reorganization, merger, consolidation,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liquidation, receivership, bankruptcy or sale of all or substantially all of our assets, then the depositary may choose to, and shall if reasonably requested by 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 the form of ADR;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distribute additional or amended ADRs;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distribute cash, securities or other property it has received in connection with such 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any securities or property received and distribute the proceeds as cash;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none of the above.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depositary does not choose any of the above options, any of the cash, securities or other property it receives will constitute part of the deposited securities and each ADS will then represent a proportionate interest in such property.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and Termination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How may the deposit agreement be amended? </w:t>
      </w:r>
    </w:p>
    <w:p>
      <w:pPr>
        <w:pStyle w:val="TextBody"/>
        <w:bidi w:val="0"/>
        <w:spacing w:before="120" w:after="0"/>
        <w:jc w:val="left"/>
        <w:rPr>
          <w:rFonts w:ascii="Times New Roman" w:hAnsi="Times New Roman"/>
          <w:sz w:val="20"/>
        </w:rPr>
      </w:pPr>
      <w:r>
        <w:rPr>
          <w:rFonts w:ascii="Times New Roman" w:hAnsi="Times New Roman"/>
          <w:sz w:val="20"/>
        </w:rPr>
        <w:t xml:space="preserve">We may agree with the depositary to amend the deposit agreement and the ADSs without your consent for any reason. ADR holders must be given at least 30 days’ notice of any amendment that imposes or increases any fees or charges (other than stock transfer or other taxes and other governmental charges, transfer or registration fees, SWIFT, cable, telex or facsimile transmission costs, delivery costs or other such expenses), or otherwise prejudices any substantial existing right of ADR holders or beneficial owners. Such notice need not describe in detail the specific amendments effectuated thereby, but must identify to ADR holders and beneficial owners a means to access the text of such amendment. If an ADR holder continues to hold an ADR or ADRs after being so notified, such ADR holder and any beneficial owner are deemed to agree to such amendment and to be bound by the deposit agreement as so amended. No amendment, however, will impair your right to surrender your ADSs and receive the underlying securities, except in order to comply with mandatory provisions of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Any amendments or supplements which (i) are reasonably necessary (as agreed by us and the depositary) in order for (a) the ADSs to be registered on Form F-6 under the Securities Act or (b) the ADSs or shares to be traded solely in electronic book-entry form and (ii) do not in either such case impose or increase any fees or charges to be borne by ADR holders, shall be deemed not to prejudice any substantial rights of ADR holders or beneficial owners. Notwithstanding the foregoing, if any governmental body or regulatory body should adopt new laws, rules or regulations which would require amendment or supplement of the deposit agreement or the form of ADR to ensure compliance therewith, we and the depositary may amend or supplement the deposit agreement and the ADR at any time in accordance with such changed laws, rules or regulations. Such amendment or supplement to the deposit agreement in such circumstances may become effective before a notice of such amendment or supplement is given to ADR holders or within any other period of time as required for compliance. </w:t>
      </w:r>
    </w:p>
    <w:p>
      <w:pPr>
        <w:pStyle w:val="TextBody"/>
        <w:bidi w:val="0"/>
        <w:spacing w:before="240" w:after="0"/>
        <w:jc w:val="left"/>
        <w:rPr>
          <w:rFonts w:ascii="Times New Roman" w:hAnsi="Times New Roman"/>
          <w:sz w:val="20"/>
        </w:rPr>
      </w:pPr>
      <w:r>
        <w:rPr>
          <w:rFonts w:ascii="Times New Roman" w:hAnsi="Times New Roman"/>
          <w:sz w:val="20"/>
        </w:rPr>
        <w:t>Notice of any amendment to the deposit agreement or form of ADRs shall not need to describe in detail the specific amendments effectuated thereby, and failure to describe the specific amendments in any such notice shall not render such notice invalid, provided, however, that, in each such case, the notice given to the ADR holders identifies a means for ADR holders and beneficial owners to retrieve or receive the text of such amendment (</w:t>
      </w:r>
      <w:r>
        <w:rPr>
          <w:rFonts w:ascii="Times New Roman" w:hAnsi="Times New Roman"/>
          <w:i/>
          <w:sz w:val="20"/>
        </w:rPr>
        <w:t>i.e.</w:t>
      </w:r>
      <w:r>
        <w:rPr>
          <w:rFonts w:ascii="Times New Roman" w:hAnsi="Times New Roman"/>
          <w:sz w:val="20"/>
        </w:rPr>
        <w:t xml:space="preserve">, upon retrieval from the SEC’s, the depositary’s or our website or upon request from the depositary). </w:t>
      </w:r>
    </w:p>
    <w:p>
      <w:pPr>
        <w:pStyle w:val="TextBody"/>
        <w:bidi w:val="0"/>
        <w:spacing w:before="360" w:after="0"/>
        <w:jc w:val="left"/>
        <w:rPr>
          <w:rFonts w:ascii="Times New Roman" w:hAnsi="Times New Roman"/>
          <w:b/>
          <w:i/>
          <w:sz w:val="20"/>
        </w:rPr>
      </w:pPr>
      <w:r>
        <w:rPr>
          <w:rFonts w:ascii="Times New Roman" w:hAnsi="Times New Roman"/>
          <w:b/>
          <w:i/>
          <w:sz w:val="20"/>
        </w:rPr>
        <w:t xml:space="preserve">How may the deposit agreement be terminated?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may, and shall at our written direction, terminate the deposit agreement and the ADRs by mailing notice of such termination to the registered holders of ADRs at least 30 days prior to the date fixed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such notice for such termination; provided, however, if the depositary shall have (i) resigned as depositary under the deposit agreement, notice of such termination by the depositary shall not be provided to registered ADR holders unless a successor depositary shall not be operating under the deposit agreement within 60 days of the date of such resignation, and (ii) been removed as depositary under the deposit agreement, notice of such termination by the depositary shall not be provided to registered holders of ADRs unless a successor depositary shall not be operating under the deposit agreement on the 60th day after our notice of removal was first provided to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After the date so fixed for termination, (a) all direct registration ADRs shall cease to be eligible for the direct registration system and shall be considered ADRs issued on the ADR register maintained by the depositary and (b) the depositary shall use its reasonable efforts to ensure that the ADSs cease to be DTC eligible so that neither DTC nor any of its nominees shall thereafter be a registered holder of ADRs. At such time as the ADSs cease to be DTC eligible and/or neither DTC nor any of its nominees is a registered holder of ADRs, the depositary shall (a) instruct its custodian to deliver all shares to us along with a general stock power that refers to the names set forth on the ADR register maintained by the depositary and (b) provide us with a copy of the ADR register maintained by the depositary. Upon receipt of such shares and the ADR register maintained by the depositary, we have agreed to use our best efforts to issue to each registered ADR holder a Share certificate representing the Shares represented by the ADSs reflected on the ADR register maintained by the depositary in such registered ADR holder’s name and to deliver such Share certificate to the registered ADR holder at the address set forth on the ADR register maintained by the depositary. After providing such instruction to the custodian and delivering a copy of the ADR register to us, the depositary and its agents will perform no further acts under the deposit agreement or the ADRs and shall cease to have any obligations under the deposit agreement and/or the ADRs.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in connection with any such termination, the depositary may, in its sole discretion and without notice to us, establish an unsponsored American depositary share program (on such terms as the depositary may determine) for our shares and make available to ADR holders a means to withdraw the shares represented by the ADSs issued under the deposit agreement and to direct the deposit of such shares into such unsponsored American depositary share program, subject, in each case, to receipt by the depositary, at its discretion, of the fees, charges and expenses provided for under the deposit agreement and the fees, charges and expenses applicable to the unsponsored American depositary share program.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Limitations on Obligations and Liability to ADR holders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Limits on our obligations and the obligations of the depositary; limits on liability to ADR holders and holders of ADSs </w:t>
      </w:r>
    </w:p>
    <w:p>
      <w:pPr>
        <w:pStyle w:val="TextBody"/>
        <w:bidi w:val="0"/>
        <w:spacing w:before="120" w:after="0"/>
        <w:jc w:val="left"/>
        <w:rPr>
          <w:rFonts w:ascii="Times New Roman" w:hAnsi="Times New Roman"/>
          <w:sz w:val="20"/>
        </w:rPr>
      </w:pPr>
      <w:r>
        <w:rPr>
          <w:rFonts w:ascii="Times New Roman" w:hAnsi="Times New Roman"/>
          <w:sz w:val="20"/>
        </w:rPr>
        <w:t xml:space="preserve">Prior to the issue, registration, registration of transfer, split-up, combination, or cancellation of any ADRs, or the delivery of any distribution in respect thereof, and from time to time in the case of the production of proofs as described below, we or the depositary or its custodian may require: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payment with respect thereto of (i) any stock transfer or other tax or other governmental charge, (ii) any stock transfer or registration fees in effect for the registration of transfers of shares or other deposited securities upon any applicable register and (iii) any applicable fees and expenses described in the deposit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production of proof satisfactory to it of (i) the identity of any signatory and genuineness of any signature and (ii) such other information, including without limitation, information as to citizenship, residence, exchange control approval, beneficial or other ownership of, or interest in, any securities, compliance with applicable law, regulations, provisions of or governing deposited securities and terms of the deposit agreement and the ADRs, as it may deem necessary or proper;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compliance with such regulations as the depositary may establish consistent with the deposit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issuance of ADRs, the acceptance of deposits of shares, the registration, registration of transfer, split-up or combination of ADRs or the withdrawal of shares, may be suspended, generally or in particular instances, when the ADR register or any register for deposited securities is closed or when any such action is deemed advisable by the depositary; provided that the ability to withdraw shares may only be limited under the following circumstances: (i) temporary delays caused by closing transfer books of the depositary or our transfer books or the deposit of shares in connection with voting at a shareholders’ meeting, or the payment of dividends, (ii) the payment of fees, taxes, and similar charges, and (iii) compliance with any laws or governmental regulations relating to ADRs or to the withdrawal of deposited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deposit agreement expressly limits the obligations and liability of the depositary, ourselves and our respective agents, provided, however, that no disclaimer of liability under the Securities Act is intended by any of the limitations of liabilities provisions of the deposit agreement. The deposit agreement provides that each of us, the depositary and our respective agents will: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or assume no liability (including, without limitation, to holders or beneficial owners) if any present or future law, rule, regulation, fiat, order or decree of the Cayman Islands, Hong Kong, the People’s Republic of China, the United States or any other country or jurisdiction, or of any governmental or regulatory authority or securities exchange or market or automated quotation system, the provisions of or governing any deposited securities, any present or future provision of our charter, any act of God, war, terrorism, nationalization, expropriation, currency restrictions, work stoppage, strike, civil unrest, revolutions, rebellions, explosions, computer failure or circumstance beyond our, the depositary’s or our respective agents’ direct and immediate control shall prevent or delay, or shall cause any of them to be subject to any civil or criminal penalty in connection with, any act which the deposit agreement or the ADRs provide shall be done or performed by us, the depositary or our respective agents (including, without limitation, voting);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or assume no liability (including, without limitation, to holders or beneficial owners) by reason of any non-performance or delay, caused as aforesaid, in the performance of any act or things which by the terms of the deposit agreement it is provided shall or may be done or performed or any exercise or failure to exercise discretion under the deposit agreement or the ADRs including, without limitation, any failure to determine that any distribution or action may be lawful or reasonably practicable;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or assume no liability (including, without limitation, to holders or beneficial owners) if it performs its obligations under the deposit agreement and ADRs without gross negligence or willful misconduct;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the depositary and its agents, be under no obligation to appear in, prosecute or defend any action, suit or other proceeding in respect of any deposited securities the ADSs or the ADRs;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us and our agents, be under no obligation to appear in, prosecute or defend any action, suit or other proceeding in respect of any deposited securities the ADSs or the ADRs, which in our or our agents’ opinion, as the case may be, may involve it in expense or liability, unless indemnity satisfactory to us or our agent, as the case may be against all expense (including fees and disbursements of counsel) and liability be furnished as often as may be requested;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be liable (including, without limitation, to holders or beneficial owners) for any action or inaction by it in reliance upon the advice of or information from any legal counsel, any accountant, any person presenting shares for deposit, any registered holder of ADRs, or any other person believed by it to be competent to give such advice or information and/or, in the case of the depositary, us;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may rely and shall be protected in acting upon any written notice, request, direction, instruction or document believed by it to be genuine and to have been signed, presented or given by the proper party or parties.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Neither the depositary nor its agents have any obligation to appear in, prosecute or defend any action, suit or other proceeding in respect of any deposited securities, the ADSs or the ADRs. We and our agents shall only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obligated to appear in, prosecute or defend any action, suit or other proceeding in respect of any deposited securities, the ADSs or the ADRs, which in our opinion may involve us in expense or liability, if indemnity satisfactory to us against all expense (including fees and disbursements of counsel) and liability is furnished as often as may be required. The depositary and its agents may fully respond to any and all demands or requests for information maintained by or on its behalf in connection with the deposit agreement, any registered holder or holders of ADRs, any ADRs or otherwise related to the deposit agreement or ADRs to the extent such information is requested or required by or pursuant to any lawful authority, including without limitation laws, rules, regulations, administrative or judicial process, banking, securities or other regulators. The depositary shall not be liable for the acts or omissions made by, or the insolvency of, any securities depository, clearing agency or settlement system. Furthermore, the depositary shall not be responsible for, and shall incur no liability in connection with or arising from, the insolvency of any custodian that is not a branch or affiliate of JPMorgan. Notwithstanding anything to the contrary contained in the deposit agreement or any ADRs, the depositary shall not be responsible for, and shall incur no liability in connection with or arising from, any act or omission to act on the part of the custodian except to the extent that any registered ADR holder has incurred liability directly as a result of the custodian having (i) committed fraud or willful misconduct in the provision of custodial services to the depositary or (ii) failed to use reasonable care in the provision of custodial services to the depositary as determined in accordance with the standards prevailing in the jurisdiction in which the custodian is located. The depositary and the custodian(s) may use third party delivery services and providers of information regarding matters such as, but not limited to, pricing, proxy voting, corporate actions, class action litigation and other services in connection with the ADRs and the deposit agreement, and use local agents to provide services such as, but not limited to, attendance at any meetings of shareholders of issuers. Although the depositary and the custodian will use reasonable care (and cause their agents to use reasonable care) in the selection and retention of such third party providers and local agents, they will not be responsible for any errors or omissions made by them in providing the relevant information or services. The depositary shall not have any liability for the price received in connection with any sale of securities, the timing thereof or any delay in action or omission to act nor shall it be responsible for any error or delay in action, omission to act, default or negligence on the part of the party so retained in connection with any such sale or proposed sale. </w:t>
      </w:r>
    </w:p>
    <w:p>
      <w:pPr>
        <w:pStyle w:val="TextBody"/>
        <w:bidi w:val="0"/>
        <w:spacing w:before="240" w:after="0"/>
        <w:jc w:val="left"/>
        <w:rPr>
          <w:rFonts w:ascii="Times New Roman" w:hAnsi="Times New Roman"/>
          <w:sz w:val="20"/>
        </w:rPr>
      </w:pPr>
      <w:r>
        <w:rPr>
          <w:rFonts w:ascii="Times New Roman" w:hAnsi="Times New Roman"/>
          <w:sz w:val="20"/>
        </w:rPr>
        <w:t xml:space="preserve">The depositary has no obligation to inform ADR holders or beneficial owners about the requirements of the laws, rules or regulations or any changes therein or thereto of the Cayman Islands, Hong Kong, the People’s Republic of China, the United States or any other country or jurisdiction or of any governmental or regulatory authority or any securities exchange or market or automated quotation system. </w:t>
      </w:r>
    </w:p>
    <w:p>
      <w:pPr>
        <w:pStyle w:val="TextBody"/>
        <w:bidi w:val="0"/>
        <w:spacing w:before="240" w:after="0"/>
        <w:jc w:val="left"/>
        <w:rPr>
          <w:rFonts w:ascii="Times New Roman" w:hAnsi="Times New Roman"/>
          <w:sz w:val="20"/>
        </w:rPr>
      </w:pPr>
      <w:r>
        <w:rPr>
          <w:rFonts w:ascii="Times New Roman" w:hAnsi="Times New Roman"/>
          <w:sz w:val="20"/>
        </w:rPr>
        <w:t xml:space="preserve">Additionally, none of us, the depositary or the custodian shall be liable for the failure by any registered holder of ADRs or beneficial owner therein to obtain the benefits of credits or refunds of non-U.S. tax paid against such ADR holder’s or beneficial owner’s income tax liability. The depositary is under no obligation to provide the ADR holders and beneficial owners, or any of them, with any information about our tax status. Neither we nor the depositary shall incur any liability for any tax or tax consequences that may be incurred by registered ADR holders or beneficial owners on account of their ownership or disposition of ADRs or ADSs. </w:t>
      </w:r>
    </w:p>
    <w:p>
      <w:pPr>
        <w:pStyle w:val="TextBody"/>
        <w:bidi w:val="0"/>
        <w:spacing w:before="240" w:after="0"/>
        <w:jc w:val="left"/>
        <w:rPr>
          <w:rFonts w:ascii="Times New Roman" w:hAnsi="Times New Roman"/>
          <w:sz w:val="20"/>
        </w:rPr>
      </w:pPr>
      <w:r>
        <w:rPr>
          <w:rFonts w:ascii="Times New Roman" w:hAnsi="Times New Roman"/>
          <w:sz w:val="20"/>
        </w:rPr>
        <w:t xml:space="preserve">Neither the depositary nor its agents will be responsible for any failure to carry out any instructions to vote any of the deposited securities, for the manner in which any voting instructions are given, or deemed to be given pursuant to the terms of the deposit agreement, including instructions to give a discretionary proxy to a person designated by us, for the manner in which any vote is cast, including, without limitation, any vote cast by a person to whom the depositary is instructed to grant a discretionary proxy (or deemed to have been instructed pursuant to the terms of the deposit agreement), or for the effect of any such vote. The depositary may rely upon instructions from us or our counsel in respect of any approval or license required for any currency conversion, transfer or distribution. The depositary shall not incur any liability for the content of any information submitted to it by us or on our behalf for distribution to ADR holders or for any inaccuracy of any translation thereof, for any investment risk associated with acquiring an interest in the deposited securities, for the validity or worth of the deposited securities, for the credit-worthiness of any third party, for allowing any rights to lapse upon the terms of the deposit agreement or for the failure or timeliness of any notice from us. The depositary shall not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liable for any acts or omissions made by a successor depositary whether in connection with a previous act or omission of the depositary or in connection with any matter arising wholly after the removal or resignation of the depositary. Neither the depositary nor any of its agents shall be liable for any indirect, special, punitive or consequential damages (including, without limitation, legal fees and expenses) or lost profits, in each case of any form incurred by any person or entity (including, without limitation holders or beneficial owners of ADRs and ADSs), whether or not foreseeable and regardless of the type of action in which such a claim may be brought. </w:t>
      </w:r>
    </w:p>
    <w:p>
      <w:pPr>
        <w:pStyle w:val="TextBody"/>
        <w:bidi w:val="0"/>
        <w:spacing w:before="240" w:after="0"/>
        <w:jc w:val="left"/>
        <w:rPr>
          <w:rFonts w:ascii="Times New Roman" w:hAnsi="Times New Roman"/>
          <w:sz w:val="20"/>
        </w:rPr>
      </w:pPr>
      <w:r>
        <w:rPr>
          <w:rFonts w:ascii="Times New Roman" w:hAnsi="Times New Roman"/>
          <w:sz w:val="20"/>
        </w:rPr>
        <w:t xml:space="preserve">In the deposit agreement each party thereto (including, for avoidance of doubt, each ADR holder and beneficial owner) irrevocably waives, to the fullest extent permitted by applicable law, any right it may have to a trial by jury in any suit, action or proceeding against the depositary and/or us directly or indirectly arising out of or relating to the shares or other deposited securities, the ADSs or the ADRs, the deposit agreement or any transaction contemplated therein, or the breach thereof (whether based on contract, tort, common law or any other theory). No provision of the deposit agreement or the ADRs is intended to constitute a waiver or limitation of any rights which an ADR holder or any beneficial owner may have under the Securities Act or the Securities Exchange Act of 1934, to the extent applicable. </w:t>
      </w:r>
    </w:p>
    <w:p>
      <w:pPr>
        <w:pStyle w:val="TextBody"/>
        <w:bidi w:val="0"/>
        <w:spacing w:before="240" w:after="0"/>
        <w:jc w:val="left"/>
        <w:rPr>
          <w:rFonts w:ascii="Times New Roman" w:hAnsi="Times New Roman"/>
          <w:sz w:val="20"/>
        </w:rPr>
      </w:pPr>
      <w:r>
        <w:rPr>
          <w:rFonts w:ascii="Times New Roman" w:hAnsi="Times New Roman"/>
          <w:sz w:val="20"/>
        </w:rPr>
        <w:t xml:space="preserve">The depositary and its agents may own and deal in any class of securities of our company and our affiliates and in ADRs. </w:t>
      </w:r>
    </w:p>
    <w:p>
      <w:pPr>
        <w:pStyle w:val="TextBody"/>
        <w:bidi w:val="0"/>
        <w:spacing w:before="360" w:after="0"/>
        <w:jc w:val="left"/>
        <w:rPr>
          <w:rFonts w:ascii="Times New Roman" w:hAnsi="Times New Roman"/>
          <w:b/>
          <w:sz w:val="20"/>
        </w:rPr>
      </w:pPr>
      <w:r>
        <w:rPr>
          <w:rFonts w:ascii="Times New Roman" w:hAnsi="Times New Roman"/>
          <w:b/>
          <w:sz w:val="20"/>
        </w:rPr>
        <w:t xml:space="preserve">Disclosure of Interest in ADSs </w:t>
      </w:r>
    </w:p>
    <w:p>
      <w:pPr>
        <w:pStyle w:val="TextBody"/>
        <w:bidi w:val="0"/>
        <w:spacing w:before="120" w:after="0"/>
        <w:jc w:val="left"/>
        <w:rPr>
          <w:rFonts w:ascii="Times New Roman" w:hAnsi="Times New Roman"/>
          <w:sz w:val="20"/>
        </w:rPr>
      </w:pPr>
      <w:r>
        <w:rPr>
          <w:rFonts w:ascii="Times New Roman" w:hAnsi="Times New Roman"/>
          <w:sz w:val="20"/>
        </w:rPr>
        <w:t xml:space="preserve">To the extent that the provisions of or governing any deposited securities may require disclosure of or impose limits on beneficial or other ownership of, or interest in, deposited securities, other shares and other securities and may provide for blocking transfer, voting or other rights to enforce such disclosure or limits, you as ADR holders or beneficial owners agree to comply with all such disclosure requirements and ownership limitations and to comply with any reasonable instructions we may provide in respect thereof. </w:t>
      </w:r>
    </w:p>
    <w:p>
      <w:pPr>
        <w:pStyle w:val="TextBody"/>
        <w:bidi w:val="0"/>
        <w:spacing w:before="360" w:after="0"/>
        <w:jc w:val="left"/>
        <w:rPr>
          <w:rFonts w:ascii="Times New Roman" w:hAnsi="Times New Roman"/>
          <w:b/>
          <w:sz w:val="20"/>
        </w:rPr>
      </w:pPr>
      <w:r>
        <w:rPr>
          <w:rFonts w:ascii="Times New Roman" w:hAnsi="Times New Roman"/>
          <w:b/>
          <w:sz w:val="20"/>
        </w:rPr>
        <w:t xml:space="preserve">Books of Depositary </w:t>
      </w:r>
    </w:p>
    <w:p>
      <w:pPr>
        <w:pStyle w:val="TextBody"/>
        <w:bidi w:val="0"/>
        <w:spacing w:before="120" w:after="0"/>
        <w:jc w:val="left"/>
        <w:rPr>
          <w:rFonts w:ascii="Times New Roman" w:hAnsi="Times New Roman"/>
          <w:sz w:val="20"/>
        </w:rPr>
      </w:pPr>
      <w:r>
        <w:rPr>
          <w:rFonts w:ascii="Times New Roman" w:hAnsi="Times New Roman"/>
          <w:sz w:val="20"/>
        </w:rPr>
        <w:t xml:space="preserve">The depositary or its agent will maintain a register for the registration, registration of transfer, combination and split-up of ADRs, which register shall include the depositary’s direct registration system. Registered holders of ADRs may inspect such records at the depositary’s office at all reasonable times, but solely for the purpose of communicating with other ADR holders in the interest of the business of our company or a matter relating to the deposit agreement. Such register may be closed at any time or from time to time, when deemed expedient by the depositary or, in the case of the issuance book portion of the ADR Register, when reasonably requested by the Company solely in order to enable the Company to comply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The depositary will maintain facilities for the delivery and receipt of ADRs. </w:t>
      </w:r>
    </w:p>
    <w:p>
      <w:pPr>
        <w:pStyle w:val="TextBody"/>
        <w:bidi w:val="0"/>
        <w:spacing w:before="360" w:after="0"/>
        <w:jc w:val="left"/>
        <w:rPr>
          <w:rFonts w:ascii="Times New Roman" w:hAnsi="Times New Roman"/>
          <w:b/>
          <w:sz w:val="20"/>
        </w:rPr>
      </w:pPr>
      <w:r>
        <w:rPr>
          <w:rFonts w:ascii="Times New Roman" w:hAnsi="Times New Roman"/>
          <w:b/>
          <w:sz w:val="20"/>
        </w:rPr>
        <w:t xml:space="preserve">Appointment </w:t>
      </w:r>
    </w:p>
    <w:p>
      <w:pPr>
        <w:pStyle w:val="TextBody"/>
        <w:bidi w:val="0"/>
        <w:spacing w:before="120" w:after="0"/>
        <w:jc w:val="left"/>
        <w:rPr>
          <w:rFonts w:ascii="Times New Roman" w:hAnsi="Times New Roman"/>
          <w:sz w:val="20"/>
        </w:rPr>
      </w:pPr>
      <w:r>
        <w:rPr>
          <w:rFonts w:ascii="Times New Roman" w:hAnsi="Times New Roman"/>
          <w:sz w:val="20"/>
        </w:rPr>
        <w:t xml:space="preserve">In the deposit agreement, each registered holder of ADRs and each beneficial owner, upon acceptance of any ADSs or ADRs (or any interest in any of them) issued in accordance with the terms and conditions of the deposit agreement will be deemed for all purposes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a party to and bound by the terms of the deposit agreement and the applicable ADR or ADRs,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appoint the depositary its attorney-in-fact, with full power to delegate, to act on its behalf and to take any and all actions contemplated in the deposit agreement and the applicable ADR or ADRs, to adopt any and all procedures necessary to comply with applicable laws and to take such action as the depositary in its sole discretion may deem necessary or appropriate to carry out the purposes of the deposit agreement and the applicable ADR or ADRs, the taking of such actions to be the conclusive determinant of the necessity and appropriateness thereof;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acknowledge and agree that (i) nothing in the deposit agreement or any ADR shall give rise to a partnership or joint venture among the parties thereto, nor establish a fiduciary or similar relationship among such parties, (ii) the depositary, its divisions, branches and affiliates, and their respective agents, may from time to time be in the possession of non-public information about us, ADR holders, beneficial owners and/or their respective affiliates, (iii) the depositary and its divisions, branches and affiliates may at any time have multiple banking relationships with us, ADR holders, beneficial owners and/or the affiliates of any of them, (iv) the depositary and its divisions, branches and affiliates may, from time to time, be engaged in transactions in which parties adverse to us, ADR holders, beneficial owners and/or their respective affiliates may have interests, (v) nothing contained in the deposit agreement or any ADR(s) shall (A) preclude the depositary or any of its divisions, branches or affiliates from engaging in any such transactions or establishing or maintaining any such relationships, or (B) obligate the depositary or any of its divisions, branches or affiliates to disclose any such transactions or relationships or to account for any profit made or payment received in any such transactions or relationships, (vi) the depositary shall not be deemed to have knowledge of any information held by any branch, division or affiliate of the depositary and (vii) notice to an ADR holder shall be deemed, for all purposes of the deposit agreement and the ADRs, to constitute notice to any and all beneficial owners of the ADSs evidenced by such ADR holder’s ADRs. For all purposes under the deposit agreement and the ADRs, the ADR holders thereof shall be deemed to have all requisite authority to act on behalf of any and all beneficial owners of the ADSs evidenced by such ADRs.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deposit agreement, the ADSs and the ADRs are governed by and construed in accordance with the internal laws of the State of New York. In the deposit agreement, we have submitted to the non-exclusive jurisdiction of the courts of the State of New York and appointed an agent for service of process on our behalf. Any action based on the deposit agreement, the ADSs, the ADRs or the transactions contemplated therein or thereby may also be instituted by the depositary against us in any competent court in the Cayman Islands, Hong Kong, the People’s Republic of China, the United States and/or any other court of competent jurisdiction. </w:t>
      </w:r>
    </w:p>
    <w:p>
      <w:pPr>
        <w:pStyle w:val="TextBody"/>
        <w:bidi w:val="0"/>
        <w:spacing w:before="240" w:after="0"/>
        <w:jc w:val="left"/>
        <w:rPr>
          <w:rFonts w:ascii="Times New Roman" w:hAnsi="Times New Roman"/>
          <w:sz w:val="20"/>
        </w:rPr>
      </w:pPr>
      <w:r>
        <w:rPr>
          <w:rFonts w:ascii="Times New Roman" w:hAnsi="Times New Roman"/>
          <w:sz w:val="20"/>
        </w:rPr>
        <w:t xml:space="preserve">Under the deposit agreement, by holding or owning an ADR or ADS or an interest therein, ADR holders and beneficial owners each irrevocably agree that any legal suit, action or proceeding against or involving ADR holders or beneficial owners brought by us or the depositary, arising out of or based upon the deposit agreement, the ADSs, the ADRs or the transactions contemplated thereby, may be instituted in a state or federal court in New York, New York, irrevocably waive any objection which you may have to the laying of venue of any such proceeding, and irrevocably submit to the non-exclusive jurisdiction of such courts in any such suit, action or proceeding. By holding or owning an ADR or ADS or an interest therein, ADR holders and beneficial owners each also irrevocably agree that any legal suit, action or proceeding against or involving the depositary brought by ADR holders or beneficial owners, arising out of or based upon the deposit agreement, the ADSs, the ADRs or the transactions contemplated thereby, may only be instituted in a state or federal court in New York, New York.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(i) the depositary may, in its sole discretion, elect to institute any dispute, suit, action, controversy, claim or proceeding directly or indirectly based on, arising out of or relating to the deposit agreement, the ADSs, the ADRs or the transactions contemplated therein or thereby, including without limitation any question regarding its or their existence, validity, interpretation, performance or termination, against any other party or parties to the deposit agreement (including, without limitation, against ADR holders and beneficial owners of interests in ADSs), by having the matter referred to and finally resolved by an arbitration conducted under the terms described below, and (ii) the depositary may in its sole discretion require, by written notice to the relevant party or parties, that any dispute, suit, action, controversy, claim or proceeding against the depositary by any party or parties to the deposit agreement (including, without limitation, by ADR holders and beneficial owners of interests in ADSs) shall be referred to and finally settled by an arbitration conducted under the terms described below. Any such arbitration shall be conducted in the English language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either in New York, New York in accordance with the Commercial Arbitration Rules of the American Arbitration Association or in Hong Kong following the arbitration rules of the United Nations Commission on International Trade Law (UNCITRAL). </w:t>
      </w:r>
    </w:p>
    <w:p>
      <w:pPr>
        <w:pStyle w:val="TextBody"/>
        <w:bidi w:val="0"/>
        <w:spacing w:before="360" w:after="0"/>
        <w:jc w:val="left"/>
        <w:rPr>
          <w:rFonts w:ascii="Times New Roman" w:hAnsi="Times New Roman"/>
          <w:b/>
          <w:sz w:val="20"/>
        </w:rPr>
      </w:pPr>
      <w:r>
        <w:rPr>
          <w:rFonts w:ascii="Times New Roman" w:hAnsi="Times New Roman"/>
          <w:b/>
          <w:sz w:val="20"/>
        </w:rPr>
        <w:t xml:space="preserve">Jury Trial Waiver </w:t>
      </w:r>
    </w:p>
    <w:p>
      <w:pPr>
        <w:pStyle w:val="TextBody"/>
        <w:bidi w:val="0"/>
        <w:spacing w:before="120" w:after="0"/>
        <w:jc w:val="left"/>
        <w:rPr>
          <w:rFonts w:ascii="Times New Roman" w:hAnsi="Times New Roman"/>
          <w:sz w:val="20"/>
        </w:rPr>
      </w:pPr>
      <w:r>
        <w:rPr>
          <w:rFonts w:ascii="Times New Roman" w:hAnsi="Times New Roman"/>
          <w:sz w:val="20"/>
        </w:rPr>
        <w:t xml:space="preserve">In the deposit agreement, each party thereto (including, for the avoidance of doubt, each holder and beneficial owner of, and/or holder of interests in, ADSs or ADRs) irrevocably waives, to the fullest extent permitted by applicable law, any right it may have to a trial by jury in any suit, action or proceeding against the depositary and/or us directly or indirectly arising out of or relating to the shares or other deposited securities, the ADSs or the ADRs, the deposit agreement or any transaction contemplated therein, or the breach thereof (whether based on contract, tort, common law or any other theory), including any claim under the U.S. federal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If we or the depositary were to oppose a jury trial demand based on such waiver, the court would determine whether the waiver was enforceable in the facts and circumstances of that case in accordance with applicable state and federal law, including whether a party knowingly, intelligently and voluntarily waived the right to a jury trial. The waiver to right to a jury trial in the deposit agreement is not intended to be deemed a waiver by any holder or beneficial owner of ADSs of our or the depositary’s compliance with the U.S. federal securities laws and the rules and regulations promulgated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toc150521_8"/>
      <w:bookmarkEnd w:id="25"/>
      <w:r>
        <w:rPr>
          <w:rFonts w:ascii="Times New Roman" w:hAnsi="Times New Roman"/>
          <w:b/>
          <w:sz w:val="20"/>
        </w:rPr>
        <w:t xml:space="preserve">DESCRIPTION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issue the debt securities under the indenture that we will enter into with the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applicable to a particular series of debt securities, the terms of the indenture do not contain any covenants or other provisions designed to give holders of any debt securities protection against changes in our operations, financial condition or transactions involving us. </w:t>
      </w:r>
    </w:p>
    <w:p>
      <w:pPr>
        <w:pStyle w:val="TextBody"/>
        <w:bidi w:val="0"/>
        <w:spacing w:before="240" w:after="0"/>
        <w:jc w:val="left"/>
        <w:rPr>
          <w:rFonts w:ascii="Times New Roman" w:hAnsi="Times New Roman"/>
          <w:sz w:val="20"/>
        </w:rPr>
      </w:pPr>
      <w:r>
        <w:rPr>
          <w:rFonts w:ascii="Times New Roman" w:hAnsi="Times New Roman"/>
          <w:sz w:val="20"/>
        </w:rPr>
        <w:t xml:space="preserve">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will describe in the applicable prospectus supplement the terms of the series of debt securities being offered,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upon the aggregate principal amount that may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maturity date or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form of the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applicability of any guarantees;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or not the debt securities will be secured or unsecured, and the terms of any secured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rank as senior debt, senior subordinated debt, subordinated debt or any combination thereof, and the terms of any subordination;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 rate or rates, which may be fixed or variable, or the method for determining the rate and the date interest will begin to accrue, the dates interest will be payable and the regular record dates for interest payment dates or the method for determining such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 if any, to defer payment of interest and the maximum length of any such deferral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or dates after which, or the period or periods during which, and the price or prices at which, we may, at our option, redeem the series of debt securities pursuant to any optional or provisional redemption provisions and the terms of those redemption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we will issue the series of debt securities, if other than denominations of $1,000 and any integral multiple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the full principal amount thereof, the portion of the principal amount of debt securities of the series which shall be payable upon declaration of acceleration of the maturity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covenants applicable to the particular debt securities being issued, including, among others, the consolidation, merger or sale covenant;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events of default with respect to the securities and any change in the right of the trustee or the holders to declare the principal, premium, if any, and interest, if any, with respect to such securities to be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or deletions of the provisions relating to covenant defeasance and legal defeasance;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provisions relating to satisfaction and discharge of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to or changes in the provisions relating to the modification of the indenture both with and without the consent of holders of debt securities issued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of payment of debt securities if other than U.S. dollars and the manner of determining the equivalent amount in U.S. dollars;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interest will be payable in cash or additional debt securities at our or the holders’ option and the terms and conditions upon which the election may be made;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if any, upon which we will pay amounts in addition to the stated interest, premium, if any and principal amounts of the debt securities of the series to any holder that is not a “United States person” for federal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restrictions on transfer, sale or assignment of the debt securities of the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specific terms, preferences, rights or limitations of, or restrictions on, the debt securities, any other additions or changes in the provisions of the indenture, and any terms that may be required by us or advisable under applicable laws or regulations.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Conversion or Exchange Rights </w:t>
      </w:r>
    </w:p>
    <w:p>
      <w:pPr>
        <w:pStyle w:val="TextBody"/>
        <w:bidi w:val="0"/>
        <w:spacing w:before="120" w:after="0"/>
        <w:jc w:val="left"/>
        <w:rPr>
          <w:rFonts w:ascii="Times New Roman" w:hAnsi="Times New Roman"/>
          <w:sz w:val="20"/>
        </w:rPr>
      </w:pPr>
      <w:r>
        <w:rPr>
          <w:rFonts w:ascii="Times New Roman" w:hAnsi="Times New Roman"/>
          <w:sz w:val="20"/>
        </w:rPr>
        <w:t xml:space="preserve">We will set forth in the applicable prospectus supplement the terms on which a series of debt securities may be convertible into or exchangeable for our ordinary shares or our other securities. We will include provisions as to settlement upon conversion or exchange and whether conversion or exchange is mandatory, at the option of the holder or at our option. We may include provisions pursuant to which the number of our ordinary shares or our other securities that the holders of the series of debt securities receive would be subject to adjustment. </w:t>
      </w:r>
    </w:p>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or Sale </w:t>
      </w:r>
    </w:p>
    <w:p>
      <w:pPr>
        <w:pStyle w:val="TextBody"/>
        <w:bidi w:val="0"/>
        <w:spacing w:before="120" w:after="0"/>
        <w:jc w:val="left"/>
        <w:rPr>
          <w:rFonts w:ascii="Times New Roman" w:hAnsi="Times New Roman"/>
          <w:sz w:val="20"/>
        </w:rPr>
      </w:pPr>
      <w:r>
        <w:rPr>
          <w:rFonts w:ascii="Times New Roman" w:hAnsi="Times New Roman"/>
          <w:sz w:val="20"/>
        </w:rPr>
        <w:t xml:space="preserve">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under the Indenture </w:t>
      </w:r>
    </w:p>
    <w:p>
      <w:pPr>
        <w:pStyle w:val="TextBody"/>
        <w:bidi w:val="0"/>
        <w:spacing w:before="120" w:after="0"/>
        <w:jc w:val="left"/>
        <w:rPr>
          <w:rFonts w:ascii="Times New Roman" w:hAnsi="Times New Roman"/>
          <w:sz w:val="20"/>
        </w:rPr>
      </w:pPr>
      <w:r>
        <w:rPr>
          <w:rFonts w:ascii="Times New Roman" w:hAnsi="Times New Roman"/>
          <w:sz w:val="20"/>
        </w:rPr>
        <w:t xml:space="preserve">Unless we provide otherwise in the prospectus supplement applicable to a particular series of debt securities, the following are events of default under the indenture with respect to any series of debt securities that we may issue: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specified events of bankruptcy, insolvency or reorganization occur.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 if an event of default under the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direction so given by the holder is not in conflict with any law or the applicable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its duties under the Trust Indenture Act, the trustee need not take any action that might involve it in personal liability or might be unduly prejudicial to the holders not involved in the proceeding.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holder of the debt securities of any series will have the right to institute a proceeding under the indenture or to appoint a receiver or trustee, or to seek other remedies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has given written notice to the trustee of a continuing event of default with respect to that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at least 25% in aggregate principal amount of the outstanding debt securities of that series have made written request,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holders have offered to the trustee indemnity satisfactory to it against the costs, expenses and liabilities to be incurred by the trustee in compliance with the request;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does not institute the proceeding, and does not receive from the holders of a majority in aggregate principal amount of the outstanding debt securities of that series other conflicting directions within 90 days after the notice, request and offer.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limitations do not apply to a suit instituted by a holder of debt securities if we default in the payment of the principal, premium, if any, or interest on,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will periodically file statements with the trustee regarding our compliance with specified covenants in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of Indenture; Waiver </w:t>
      </w:r>
    </w:p>
    <w:p>
      <w:pPr>
        <w:pStyle w:val="TextBody"/>
        <w:bidi w:val="0"/>
        <w:spacing w:before="120" w:after="0"/>
        <w:jc w:val="left"/>
        <w:rPr>
          <w:rFonts w:ascii="Times New Roman" w:hAnsi="Times New Roman"/>
          <w:sz w:val="20"/>
        </w:rPr>
      </w:pPr>
      <w:r>
        <w:rPr>
          <w:rFonts w:ascii="Times New Roman" w:hAnsi="Times New Roman"/>
          <w:sz w:val="20"/>
        </w:rPr>
        <w:t xml:space="preserve">We and the trustee may change the indenture without the consent of any holders with respect to specific matters: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cure any ambiguity, defect or inconsistency in the indenture or in the debt securities of any series;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the provisions described above under “—Consolidation, Merger or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uncertificated debt securities in addition to or in place of certificated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delete from or revise the conditions, limitations, and restrictions on the authorized amount, terms, or purposes of issue, authentication and delivery of debt securities, as set forth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any change that does not adversely affect the interests of any holder of debt securities of any series in any material respect;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the issuance of and establish the form and terms and conditions of the debt securities of any series as provided above under “—General” to establish the form of any certifications required to be furnished pursuant to the terms of the indenture or any series of debt securities, or to add to the rights of the holders of any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and provide for the acceptance of appointment under any indenture by a successor trustee;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comply with any requirements of the SEC in connection with the qualification of any indenture under the Trust Indenture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extending the fixed maturity of any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principal amount, reducing the rate of or extending the time of payment of interest, or reducing any premium payable upon the redemption of any series of any debt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reducing the percentage of debt securities, the holders of which are required to consent to any amendment, supplement, modification or waiver.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Discharge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we can elect to be discharged from our obligations with respect to one or more series of debt securities, except for specified obligations, including obligations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 the transfer or exchange of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replace stolen, lost or mutilated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pay principal of and premium and interest on any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maintain paying agencies;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 monies for payment in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recover excess money held by the trustee;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compensate and indemnify the trustee;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appoint any successor trustee.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order to exercise our rights to be discharged, we must deposit with the trustee money or government obligations sufficient to pay all the principal of, any premium, if any, and interest on, the debt securities of the series on the dates payments are due. </w:t>
      </w:r>
    </w:p>
    <w:p>
      <w:pPr>
        <w:pStyle w:val="TextBody"/>
        <w:bidi w:val="0"/>
        <w:spacing w:before="360" w:after="0"/>
        <w:jc w:val="left"/>
        <w:rPr>
          <w:rFonts w:ascii="Times New Roman" w:hAnsi="Times New Roman"/>
          <w:b/>
          <w:sz w:val="20"/>
        </w:rPr>
      </w:pPr>
      <w:r>
        <w:rPr>
          <w:rFonts w:ascii="Times New Roman" w:hAnsi="Times New Roman"/>
          <w:b/>
          <w:sz w:val="20"/>
        </w:rPr>
        <w:t xml:space="preserve">Form, Exchange and Transfer </w:t>
      </w:r>
    </w:p>
    <w:p>
      <w:pPr>
        <w:pStyle w:val="TextBody"/>
        <w:bidi w:val="0"/>
        <w:spacing w:before="120" w:after="0"/>
        <w:jc w:val="left"/>
        <w:rPr>
          <w:rFonts w:ascii="Times New Roman" w:hAnsi="Times New Roman"/>
          <w:sz w:val="20"/>
        </w:rPr>
      </w:pPr>
      <w:r>
        <w:rPr>
          <w:rFonts w:ascii="Times New Roman" w:hAnsi="Times New Roman"/>
          <w:sz w:val="20"/>
        </w:rPr>
        <w:t xml:space="preserve">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 </w:t>
      </w:r>
    </w:p>
    <w:p>
      <w:pPr>
        <w:pStyle w:val="TextBody"/>
        <w:bidi w:val="0"/>
        <w:spacing w:before="240" w:after="0"/>
        <w:jc w:val="left"/>
        <w:rPr>
          <w:rFonts w:ascii="Times New Roman" w:hAnsi="Times New Roman"/>
          <w:sz w:val="20"/>
        </w:rPr>
      </w:pPr>
      <w:r>
        <w:rPr>
          <w:rFonts w:ascii="Times New Roman" w:hAnsi="Times New Roman"/>
          <w:sz w:val="20"/>
        </w:rPr>
        <w:t xml:space="preserve">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w:t>
      </w:r>
    </w:p>
    <w:p>
      <w:pPr>
        <w:pStyle w:val="TextBody"/>
        <w:bidi w:val="0"/>
        <w:spacing w:before="240" w:after="0"/>
        <w:jc w:val="left"/>
        <w:rPr>
          <w:rFonts w:ascii="Times New Roman" w:hAnsi="Times New Roman"/>
          <w:sz w:val="20"/>
        </w:rPr>
      </w:pPr>
      <w:r>
        <w:rPr>
          <w:rFonts w:ascii="Times New Roman" w:hAnsi="Times New Roman"/>
          <w:sz w:val="20"/>
        </w:rPr>
        <w:t xml:space="preserve">If we elect to redeem the debt securities of any series, we will not be required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register the transfer of or exchange any debt securities so selected for redemption, in whole or in part, except the unredeemed portion of any debt securities we are redeeming in part.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Information Concerning the 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other than during the occurrence and continuance of an event of default under the indenture, undertakes to perform only those duties as are specifically set forth in the indenture. Upon an event of default under the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Payment and Paying Agents </w:t>
      </w:r>
    </w:p>
    <w:p>
      <w:pPr>
        <w:pStyle w:val="TextBody"/>
        <w:bidi w:val="0"/>
        <w:spacing w:before="120" w:after="0"/>
        <w:jc w:val="left"/>
        <w:rPr>
          <w:rFonts w:ascii="Times New Roman" w:hAnsi="Times New Roman"/>
          <w:sz w:val="20"/>
        </w:rPr>
      </w:pPr>
      <w:r>
        <w:rPr>
          <w:rFonts w:ascii="Times New Roman" w:hAnsi="Times New Roman"/>
          <w:sz w:val="20"/>
        </w:rPr>
        <w:t xml:space="preserve">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 </w:t>
      </w:r>
    </w:p>
    <w:p>
      <w:pPr>
        <w:pStyle w:val="TextBody"/>
        <w:bidi w:val="0"/>
        <w:spacing w:before="240" w:after="0"/>
        <w:jc w:val="left"/>
        <w:rPr>
          <w:rFonts w:ascii="Times New Roman" w:hAnsi="Times New Roman"/>
          <w:sz w:val="20"/>
        </w:rPr>
      </w:pPr>
      <w:r>
        <w:rPr>
          <w:rFonts w:ascii="Times New Roman" w:hAnsi="Times New Roman"/>
          <w:sz w:val="20"/>
        </w:rPr>
        <w:t xml:space="preserve">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 </w:t>
      </w:r>
    </w:p>
    <w:p>
      <w:pPr>
        <w:pStyle w:val="TextBody"/>
        <w:bidi w:val="0"/>
        <w:spacing w:before="240" w:after="0"/>
        <w:jc w:val="left"/>
        <w:rPr>
          <w:rFonts w:ascii="Times New Roman" w:hAnsi="Times New Roman"/>
          <w:sz w:val="20"/>
        </w:rPr>
      </w:pPr>
      <w:r>
        <w:rPr>
          <w:rFonts w:ascii="Times New Roman" w:hAnsi="Times New Roman"/>
          <w:sz w:val="20"/>
        </w:rPr>
        <w:t xml:space="preserve">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debt securities will be governed by and construed in accordance with the internal laws of the State of New York, except to the extent that the Trust Indenture Act is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toc150521_9"/>
      <w:bookmarkEnd w:id="26"/>
      <w:r>
        <w:rPr>
          <w:rFonts w:ascii="Times New Roman" w:hAnsi="Times New Roman"/>
          <w:b/>
          <w:sz w:val="20"/>
        </w:rPr>
        <w:t xml:space="preserve">DESCRIPTION OF WARRANTS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may issue warrants to purchase our ordinary shares represented by ADSs and/or debt securities in one or more series together with other securities or separately, as described in the applicable prospectus supplement. Below is a description of certain general terms and provisions of the warrants that we may offer. Particular terms of the warrants will be described in the warrant agreements and the prospectus supplement relating to the warrants.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will contain, where applicable, the following terms of and other information relating to the warrants: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specific designation and aggregate number of, and the price at which we will issue,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currency units in which the offering price, if any, and the exercise price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amount and terms of the securities purchasable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exercise price for our ADSs and the number of ADSs to be received upon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exercise price for our debt securities, the amount of debt securities to be received upon exercise, and a description of that series of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warrants will begin and the date on which that right will expire or, if you may not continuously exercise the warrants throughout that period, the specific date or dates on which you may exercise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warrants will be issued in fully registered form or bearer form, in definitive or global form or in any combination of these forms;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applicable material U.S. federal income tax consequences and any applicable material U.K. tax consequences;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identity of the warrant agent for the warrants and of any other depositaries, execution or paying agents, transfer agents, registrars or other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proposed listing, if any, of the warrants or any securities purchasable upon exercise of the warrants on any securities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from and after which the warrants and the ADSs and/or debt securities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minimum or maximum amount of the warrants that may be exercised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with respect to book-entry procedures,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anti-dilution provisions of the warrants,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redemption or call provisions;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terms of the warrants, including terms, procedures and limitations relating to the exchange and exercise of the warrants.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any warrants will be set forth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toc150521_10"/>
      <w:bookmarkEnd w:id="27"/>
      <w:r>
        <w:rPr>
          <w:rFonts w:ascii="Times New Roman" w:hAnsi="Times New Roman"/>
          <w:b/>
          <w:sz w:val="20"/>
        </w:rPr>
        <w:t xml:space="preserve">ENFORCEABILITY OF CIVIL LIABILITIES </w:t>
      </w:r>
    </w:p>
    <w:p>
      <w:pPr>
        <w:pStyle w:val="TextBody"/>
        <w:bidi w:val="0"/>
        <w:spacing w:before="120" w:after="0"/>
        <w:jc w:val="left"/>
        <w:rPr>
          <w:rFonts w:ascii="Times New Roman" w:hAnsi="Times New Roman"/>
          <w:sz w:val="20"/>
        </w:rPr>
      </w:pPr>
      <w:r>
        <w:rPr>
          <w:rFonts w:ascii="Times New Roman" w:hAnsi="Times New Roman"/>
          <w:sz w:val="20"/>
        </w:rPr>
        <w:t xml:space="preserve">We are incorporated and existing under the laws of the Cayman Islands to take advantage of certain benefits associated with being a Cayman Islands exempted company,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political and economic stability;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effective judicial system;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favorable tax system;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absence of exchange control or currency restrictions;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professional and support services.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certain disadvantages accompany incorporation in the Cayman Islands. These disadvantages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Cayman Islands has a less developed body of securities laws as compared to the United States and provides significantly less protection to investors;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Cayman Islands companies do not have standing to sue before the federal courts of the United States.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Our constituent documents do not contain provisions requiring that disputes, including those arising under the securities laws of the United States, between us, our officers, directors and shareholders, be arbitrated. </w:t>
      </w:r>
    </w:p>
    <w:p>
      <w:pPr>
        <w:pStyle w:val="TextBody"/>
        <w:bidi w:val="0"/>
        <w:spacing w:before="240" w:after="0"/>
        <w:jc w:val="left"/>
        <w:rPr>
          <w:rFonts w:ascii="Times New Roman" w:hAnsi="Times New Roman"/>
          <w:sz w:val="20"/>
        </w:rPr>
      </w:pPr>
      <w:r>
        <w:rPr>
          <w:rFonts w:ascii="Times New Roman" w:hAnsi="Times New Roman"/>
          <w:sz w:val="20"/>
        </w:rPr>
        <w:t xml:space="preserve">Certain of our assets and operations are located in China. Certain of our directors are nationals or residents of jurisdictions other than the United States that may have assets located outside the United States.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Maples and Calder (Singapore) LLP, our legal counsel as to Cayman Islands law, and JunHe LLP, our legal counsel as to PRC law, have advised us, respectively, that there is uncertainty as to whether the courts of the Cayman Islands and PRC, respectively, would: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recognize or enforce judgments of United States courts obtained against us or our directors or officers predicated upon the civil liability provisions of the securities laws of the United States or any state in the United States;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entertain original actions brought in each respective jurisdiction against us or our directors or officers predicated upon the securities laws of the United States or any state in the United States.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is uncertainty with regard to Cayman Islands law relating to whether a judgment obtained from the United States courts under civil liability provisions of the securities laws will be determined by the courts of the Cayman Islands as penal or punitive in nature. If such a determination is made, the courts of the Cayman Islands will not recognize or enforce the judgment against a Cayman Islands company. Because the courts of the Cayman Islands have yet to rule on whether such judgments are penal or punitive in nature, it is uncertain whether they would be enforceable in the Cayman Islands. Maples and Calder (Singapore) LLP have advised us that although there is no statutory enforcement in the Cayman Islands of judgments obtained in the federal or state courts of the United States, a judgment in personam obtained in such jurisdiction will be recognized and enforced in the courts of the Cayman Islands at common law, without any re-examination of the merits of the underlying dispute, by an action commenced on the foreign judgment debt in the Grand Court of the Cayman Islands, provided such judgment: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given by a competent foreign court with jurisdiction to give the judgment;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imposes a specific positive obligation on the judgment debtor (such as an obligation to pay a liquidated sum or perform a specified obligation);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final and conclusive;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is not in respect of taxes, a fine or a penalty;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was not obtained in a manner and is not a kind of the enforcement of which is contrary to natural justice or the public policy of the Cayman Islands.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the Cayman Islands courts are unlikely to enforce a judgment obtained from the U.S. courts under civil liability provisions of the U.S. federal securities law if such judgment is determined by the courts of the Cayman Islands to give rise to obligations to make payments that are penal or punitive in nature. Because such a determination has not yet been made by a court of the Cayman Islands, it is uncertain whether such civil liability judgments from U.S. courts would be enforceable in the Cayman Islands. A Cayman Islands court may stay enforcement proceedings if concurrent proceedings are being brought elsewhere. </w:t>
      </w:r>
    </w:p>
    <w:p>
      <w:pPr>
        <w:pStyle w:val="TextBody"/>
        <w:bidi w:val="0"/>
        <w:spacing w:before="240" w:after="0"/>
        <w:jc w:val="left"/>
        <w:rPr>
          <w:rFonts w:ascii="Times New Roman" w:hAnsi="Times New Roman"/>
          <w:sz w:val="20"/>
        </w:rPr>
      </w:pPr>
      <w:r>
        <w:rPr>
          <w:rFonts w:ascii="Times New Roman" w:hAnsi="Times New Roman"/>
          <w:sz w:val="20"/>
        </w:rPr>
        <w:t xml:space="preserve">JunHe LLP has further advised us that the recognition and enforcement of foreign judgments are provided for under the PRC Civil Procedures Law. PRC courts may recognize and enforce foreign judgments in accordance with the requirements of the PRC Civil Procedures Law based either on treaties between China and the country where the judgment is made or on principles of reciprocity between jurisdictions. China does not have any treaties or other form of reciprocity with the United States or the Cayman Islands that provide for the reciprocal recognition and enforcement of foreign judgments. In addition, according to the PRC Civil Procedures Law, courts in China will not enforce a foreign judgment against us or our directors and officers if they decide that the judgment violates the basic principles of PRC law or national sovereignty, security or social public interest. As a result, it is uncertain whether and on what basis a PRC court would enforce a judgment rendered by a court in the United States or in the Cayman Islands. Under the PRC Civil Procedures Law, foreign shareholders may originate actions based on PRC law against a company in China for disputes if they can establish sufficient nexus to China for a PRC court to have jurisdiction, and meet other procedural requirements, including, among others, the plaintiff must have a direct interest in the case, and there must be a concrete claim, a factual basis and a cause for the suit. However, it would be difficult for foreign shareholders to establish sufficient nexus to China by virtue only of holding our ADSs or ordinary shares. </w:t>
      </w:r>
    </w:p>
    <w:p>
      <w:pPr>
        <w:pStyle w:val="TextBody"/>
        <w:bidi w:val="0"/>
        <w:spacing w:before="240" w:after="0"/>
        <w:jc w:val="left"/>
        <w:rPr>
          <w:rFonts w:ascii="Times New Roman" w:hAnsi="Times New Roman"/>
          <w:sz w:val="20"/>
        </w:rPr>
      </w:pPr>
      <w:r>
        <w:rPr>
          <w:rFonts w:ascii="Times New Roman" w:hAnsi="Times New Roman"/>
          <w:sz w:val="20"/>
        </w:rPr>
        <w:t xml:space="preserve">In addition, it will be difficult for U.S. shareholders to originate actions against us in China in accordance with PRC laws because we are incorporated under the laws of the Cayman Islands and it will be difficult for U.S. shareholders, by virtue only of holding our ADSs or ordinary shares, to establish a connection to China for a PRC court to have jurisdiction as required under the PRC Civil Procedures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toc150521_11"/>
      <w:bookmarkEnd w:id="28"/>
      <w:r>
        <w:rPr>
          <w:rFonts w:ascii="Times New Roman" w:hAnsi="Times New Roman"/>
          <w:b/>
          <w:sz w:val="20"/>
        </w:rPr>
        <w:t xml:space="preserve">TAXATION </w:t>
      </w:r>
    </w:p>
    <w:p>
      <w:pPr>
        <w:pStyle w:val="TextBody"/>
        <w:bidi w:val="0"/>
        <w:spacing w:before="240" w:after="0"/>
        <w:jc w:val="left"/>
        <w:rPr>
          <w:rFonts w:ascii="Times New Roman" w:hAnsi="Times New Roman"/>
          <w:sz w:val="20"/>
        </w:rPr>
      </w:pPr>
      <w:r>
        <w:rPr>
          <w:rFonts w:ascii="Times New Roman" w:hAnsi="Times New Roman"/>
          <w:sz w:val="20"/>
        </w:rPr>
        <w:t xml:space="preserve">Material income tax consequences relating to the purchase, ownership and disposition of any of the securities offered by this prospectus will be set forth in the applicable prospectus supplement relating to the offering of those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toc150521_12"/>
      <w:bookmarkEnd w:id="29"/>
      <w:r>
        <w:rPr>
          <w:rFonts w:ascii="Times New Roman" w:hAnsi="Times New Roman"/>
          <w:b/>
          <w:sz w:val="20"/>
        </w:rPr>
        <w:t xml:space="preserve">SELLING SHAREHOLDERS </w:t>
      </w:r>
    </w:p>
    <w:p>
      <w:pPr>
        <w:pStyle w:val="TextBody"/>
        <w:bidi w:val="0"/>
        <w:spacing w:before="240" w:after="0"/>
        <w:jc w:val="left"/>
        <w:rPr>
          <w:rFonts w:ascii="Times New Roman" w:hAnsi="Times New Roman"/>
          <w:sz w:val="20"/>
        </w:rPr>
      </w:pPr>
      <w:r>
        <w:rPr>
          <w:rFonts w:ascii="Times New Roman" w:hAnsi="Times New Roman"/>
          <w:sz w:val="20"/>
        </w:rPr>
        <w:t xml:space="preserve">Selling shareholders are persons or entities that, directly or indirectly, have acquired or will from time to time acquire from us, our securities. If the registration statement of which this prospectus forms a part is used by selling shareholders for the resale of any securities registered thereunder, we will provide you with a prospectus supplement, which will set forth the name of each selling shareholder, the number of securities beneficially owned by such selling shareholder and the number of securities they are offering. The prospectus supplement also will disclose whether any of the selling shareholders have held any position or office with, have been employed by or otherwise have had a material relationship with us during the three years prior to the date of the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0" w:name="toc150521_13"/>
      <w:bookmarkEnd w:id="30"/>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or selling shareholders may offer securities under this prospectus from time to time pursuant to underwritten public offerings, negotiated transactions, block trades or a combination of these methods. We or selling shareholders may sell the securities (1) through underwriters or dealers, (2) through agents or (3) directly to one or more purchasers, or through a combination of such methods. We or selling shareholder may distribute the securities from time to time in one or more transactions 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fixed price or prices, which may be changed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market prices prevailing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prices related to the prevailing market prices;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negotiated prices.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time that we or selling shareholders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 </w:t>
      </w:r>
    </w:p>
    <w:p>
      <w:pPr>
        <w:pStyle w:val="TextBody"/>
        <w:bidi w:val="0"/>
        <w:spacing w:before="240" w:after="0"/>
        <w:jc w:val="left"/>
        <w:rPr>
          <w:rFonts w:ascii="Times New Roman" w:hAnsi="Times New Roman"/>
          <w:sz w:val="20"/>
        </w:rPr>
      </w:pPr>
      <w:r>
        <w:rPr>
          <w:rFonts w:ascii="Times New Roman" w:hAnsi="Times New Roman"/>
          <w:sz w:val="20"/>
        </w:rPr>
        <w:t xml:space="preserve">We or selling shareholders may directly solicit offers to purchase the securities being offered by this prospectus. We or selling shareholders may also designate agents to solicit offers to purchase the securities from time to time, and may enter into arrangements for “at-the-market,” equity line or similar transactions. We will name in a prospectus supplement any underwriter or agent involved in the offer or sale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If we or selling shareholders utilize a dealer in the sale of the securities being offered by this prospectus, we or the selling shareholders will sell the securities to the dealer, as principal. The dealer may then resell the securities to the public at varying prices to be determined by the dealer at the time of resale. </w:t>
      </w:r>
    </w:p>
    <w:p>
      <w:pPr>
        <w:pStyle w:val="TextBody"/>
        <w:bidi w:val="0"/>
        <w:spacing w:before="240" w:after="0"/>
        <w:jc w:val="left"/>
        <w:rPr>
          <w:rFonts w:ascii="Times New Roman" w:hAnsi="Times New Roman"/>
          <w:sz w:val="20"/>
        </w:rPr>
      </w:pPr>
      <w:r>
        <w:rPr>
          <w:rFonts w:ascii="Times New Roman" w:hAnsi="Times New Roman"/>
          <w:sz w:val="20"/>
        </w:rPr>
        <w:t xml:space="preserve">If we or selling shareholders utilize an underwriter in the sale of the securities being offered by this prospectus, we or the selling shareholders will execute an underwriting agreement with the underwriter at the time of sale, and we will provide the name of any underwriter in the prospectus supplement which the underwriter will use to make resales of the securities to the public. In connection with the sale of the securities, we, the selling shareholders,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underwritten public offerings, negotiated transactions and block trades, we will provide in the applicable prospectus supplement information regarding any compensation we or selling shareholders pay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or selling shareholders may enter into agreements to indemnify underwriters, dealers and agents against civil liabilities, including liabilities under the Securities Act, or to contribute to payments they may be required to make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If so indicated in the applicable prospectus supplement, we or selling shareholders may authorize underwriters, dealers or other persons acting as our agents to solicit offers by certain institutions to purchase securities from us pursuant to delayed delivery contracts providing for payment and delivery on the date stated in each applicable prospectus supplement. Each contract will be for an amount not less than, and the aggregate amount of securities sold pursuant to such contracts shall not be less nor more than, the respective amounts stated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each applicable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by an institution of the securities covered under that contract shall not at the time of delivery be prohibited under the laws of the jurisdiction to which that institution is subject;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One or more firms, referred to as “remarketing firms,” may also offer or sell the securities, if a prospectus supplement so indicates, in connection with a remarketing arrangement upon their purchase. Remarketing firms will act as principals for their own accounts or as our agents. These remarketing firms will offer or sell the securities in accordance with the terms of the securities. Each prospectus supplement will identify and describe any remarketing firm and the terms of its agreement, if any, with us and will describe the remarketing firm’s compensation. Remarketing firms may be deemed to be underwriters in connection with the securities they remarket. Remarketing firms may be entitled under agreements that may be entered into with us to indemnification by us against certain civil liabilities, including liabilities under the Securities Act, and may be customers of, engage in transactions with or perform services for us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Certain underwriters may use this prospectus and any accompanying prospectus supplement for offers and sales related to market-making transactions in the securities. These underwriters may act as principal or agent in these transactions, and the sales will be made at prices related to prevailing market prices at the time of sale. Any underwriters involved in the sale of the securities may qualify as “underwriters” within the meaning of Section 2(a)(11) of the Securities Act. In addition, the underwriters’ commissions, discounts or concessions may qualify as underwriters’ compensation under the Securities Act and the rules of the Financial Industry Regulatory Authority, Inc., or FINRA. </w:t>
      </w:r>
    </w:p>
    <w:p>
      <w:pPr>
        <w:pStyle w:val="TextBody"/>
        <w:bidi w:val="0"/>
        <w:spacing w:before="240" w:after="0"/>
        <w:jc w:val="left"/>
        <w:rPr>
          <w:rFonts w:ascii="Times New Roman" w:hAnsi="Times New Roman"/>
          <w:sz w:val="20"/>
        </w:rPr>
      </w:pPr>
      <w:r>
        <w:rPr>
          <w:rFonts w:ascii="Times New Roman" w:hAnsi="Times New Roman"/>
          <w:sz w:val="20"/>
        </w:rPr>
        <w:t xml:space="preserve">ADSs representing our ordinary shares sold pursuant to the registration statement of which this prospectus is a part will be authorized for listing and trading on The Nasdaq Global Select Market. The applicable prospectus supplement will contain information, where applicable, as to any other listing, if any, on The Nasdaq Global Select Market or any securities market or other securities exchange of the securities covered by the prospectus supplement. Underwriters may make a market in our ADSs, but will not be obligated to do so and may discontinue any market making at any time without notice. We can make no assurance as to the liquidity of or the existence, development or maintenance of trading markets for any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In order to facilitate the offering of the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 sold to them. In these circumstances, these persons would cover such over-allotments or short positions by making purchases in the open market or by exercising their over-allotment option. In addition, these persons may stabilize or maintain the price of the securities by bidding for or purchasing the applicable security in the open market or by imposing penalty bids, whereby selling concessions allowed to dealers participating in the offering may be reclaimed if the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dealers and agents may engage in other transactions with us, or perform other services for us, in the ordinary course of their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1" w:name="toc150521_14"/>
      <w:bookmarkEnd w:id="31"/>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We are being represented by Cooley LLP with respect to certain legal matters of United States federal securities and New York state law and for the validity of the warrants and debt securities offered in this offering. The validity of the ordinary shares, including ordinary shares in the form of ADSs, offered in this offering and legal matters as to Cayman Islands law will be passed upon for us by Maples and Calder (Singapore) LLP. Certain legal matters as to PRC law will be passed upon for us by JunHe LLP. Cooley LLP and Maples and Calder (Singapore) LLP may rely upon JunHe LLP with respect to legal matters governed by PRC law. Additional legal matters may be passed upon for any underwriters, dealers or agents by counsel that we will name in the applicable prospectus supplement. </w:t>
      </w:r>
    </w:p>
    <w:p>
      <w:pPr>
        <w:pStyle w:val="TextBody"/>
        <w:bidi w:val="0"/>
        <w:spacing w:before="480" w:after="0"/>
        <w:jc w:val="center"/>
        <w:rPr>
          <w:rFonts w:ascii="Times New Roman" w:hAnsi="Times New Roman"/>
          <w:b/>
          <w:sz w:val="20"/>
        </w:rPr>
      </w:pPr>
      <w:bookmarkStart w:id="32" w:name="toc150521_15"/>
      <w:bookmarkEnd w:id="32"/>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Legend Biotech Corporation at December 31, 2023 and 2022 and for each of the two years in the period ended December 31, 2023 appearing in Legend Biotech Corporation’s Annual Report (Form 20-F) for the year ended December 31, 2023, and the effectiveness of Legend Biotech Corporation’s internal control over financial reporting as of December 31, 2023,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Legend Biotech Corporation for the year ended December 31, 2021, appearing in Legend Biotech Corporation’s Annual Report (Form 20-F) for the year ended December 31, 2023 has been audited by Ernst &amp; Young Hua Ming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office of Ernst &amp; Young LLP is located at 99 South Wood Avenue in Iselin, New Jersey 08830. The offices of Ernst &amp; Young Hua Ming LLP are located at 50/F, Shanghai World Financial Center, 100 Century Avenue, Pudong New Area, Shanghai 200120, the People’s Republic of China.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3" w:name="toc150521_16"/>
      <w:bookmarkEnd w:id="33"/>
      <w:r>
        <w:rPr>
          <w:rFonts w:ascii="Times New Roman" w:hAnsi="Times New Roman"/>
          <w:b/>
          <w:sz w:val="20"/>
        </w:rPr>
        <w:t xml:space="preserve">WHERE YOU CAN FIND MORE INFORMATION ABOUT US </w:t>
      </w:r>
    </w:p>
    <w:p>
      <w:pPr>
        <w:pStyle w:val="TextBody"/>
        <w:bidi w:val="0"/>
        <w:spacing w:before="240" w:after="0"/>
        <w:jc w:val="left"/>
        <w:rPr>
          <w:rFonts w:ascii="Times New Roman" w:hAnsi="Times New Roman"/>
          <w:sz w:val="20"/>
        </w:rPr>
      </w:pPr>
      <w:r>
        <w:rPr>
          <w:rFonts w:ascii="Times New Roman" w:hAnsi="Times New Roman"/>
          <w:sz w:val="20"/>
        </w:rPr>
        <w:t xml:space="preserve">We are currently subject to periodic reporting and other informational requirements of the Exchange Act, as applicable to foreign private issuers. Accordingly, we are required to file reports, including annual reports on Form 20-F and other information with the SEC. The SEC maintains a website that contains reports, proxy and information statements and other information regarding registrants that file electronically with the SEC. The address is </w:t>
      </w:r>
      <w:r>
        <w:rPr>
          <w:rFonts w:ascii="Times New Roman" w:hAnsi="Times New Roman"/>
          <w:i/>
          <w:sz w:val="20"/>
        </w:rPr>
        <w:t>www.sec.gov</w:t>
      </w:r>
      <w:r>
        <w:rPr>
          <w:rFonts w:ascii="Times New Roman" w:hAnsi="Times New Roman"/>
          <w:sz w:val="20"/>
        </w:rPr>
        <w:t xml:space="preserve">. We also maintain a website at www.legendbiotech.com though which you can access our SEC filings. The information set forth on our website is not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 However, we intend to furnish the depositary with our annual reports, which will include a review of operations and annual audited consolidated financial statements prepared in conformity with generally accepted accounting principles in the United States, and all notices of shareholders’ meetings and other reports and communications that are made generally available to our shareholders. The depositary will make such notices, reports and communications available to holders of ADSs and will mail to all record holders of ADSs the information contained in any notice of a shareholders’ meeting received by the depositary from us if we ask it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4" w:name="toc150521_17"/>
      <w:bookmarkEnd w:id="34"/>
      <w:r>
        <w:rPr>
          <w:rFonts w:ascii="Times New Roman" w:hAnsi="Times New Roman"/>
          <w:b/>
          <w:sz w:val="20"/>
        </w:rPr>
        <w:t xml:space="preserve">INCORPORATION OF DOCUMENTS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 this prospectus, you should rely on the information contained in the document that was filed later. </w:t>
      </w:r>
    </w:p>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the documents listed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19">
              <w:r>
                <w:rPr>
                  <w:rStyle w:val="InternetLink"/>
                  <w:rFonts w:ascii="Times New Roman" w:hAnsi="Times New Roman"/>
                  <w:sz w:val="20"/>
                </w:rPr>
                <w:t>Form 20-F</w:t>
              </w:r>
            </w:hyperlink>
            <w:r>
              <w:rPr>
                <w:rFonts w:ascii="Times New Roman" w:hAnsi="Times New Roman"/>
                <w:sz w:val="20"/>
              </w:rPr>
              <w:t xml:space="preserve"> for the fiscal year ended December 31, 2023 filed with the SEC on March 19, 2024 (File No. 001-39307);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the securities contained in our registration statement on </w:t>
            </w:r>
            <w:hyperlink r:id="rId20">
              <w:r>
                <w:rPr>
                  <w:rStyle w:val="InternetLink"/>
                  <w:rFonts w:ascii="Times New Roman" w:hAnsi="Times New Roman"/>
                  <w:sz w:val="20"/>
                </w:rPr>
                <w:t>Form 8-A</w:t>
              </w:r>
            </w:hyperlink>
            <w:r>
              <w:rPr>
                <w:rFonts w:ascii="Times New Roman" w:hAnsi="Times New Roman"/>
                <w:sz w:val="20"/>
              </w:rPr>
              <w:t xml:space="preserve"> filed on June 2, 2020 (File No. 001-39307) pursuant to Section 12 of the Exchange Act, together with all amendments and reports filed for the purpose of updating that description, including </w:t>
            </w:r>
            <w:hyperlink r:id="rId21">
              <w:r>
                <w:rPr>
                  <w:rStyle w:val="InternetLink"/>
                  <w:rFonts w:ascii="Times New Roman" w:hAnsi="Times New Roman"/>
                  <w:sz w:val="20"/>
                </w:rPr>
                <w:t>Exhibit 2.4</w:t>
              </w:r>
            </w:hyperlink>
            <w:r>
              <w:rPr>
                <w:rFonts w:ascii="Times New Roman" w:hAnsi="Times New Roman"/>
                <w:sz w:val="20"/>
              </w:rPr>
              <w:t xml:space="preserve"> to our Annual Report on Form 20-F for the year ended December 31,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future annual reports on Form 20-F filed with the SEC after the date of this prospectus and prior to the termination of the offering of the securities offered by this prospectus;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future current reports on Form 6-K that we furnish to the SEC on or after the date of this prospectus and prior to the termination of the offering of the securities offered by this prospectus that are identified in such reports or in any applicable prospectus supplement as being incorporated by reference in this 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specially incorporated by reference in this prospectus, will be provided at no cost to each person, including any beneficial owner, who receives a copy of this prospectus on the written or oral request of that person made to: </w:t>
      </w:r>
    </w:p>
    <w:p>
      <w:pPr>
        <w:pStyle w:val="TextBody"/>
        <w:bidi w:val="0"/>
        <w:spacing w:before="480" w:after="0"/>
        <w:jc w:val="center"/>
        <w:rPr>
          <w:rFonts w:ascii="Times New Roman" w:hAnsi="Times New Roman"/>
          <w:b/>
          <w:sz w:val="20"/>
        </w:rPr>
      </w:pPr>
      <w:r>
        <w:rPr>
          <w:rFonts w:ascii="Times New Roman" w:hAnsi="Times New Roman"/>
          <w:b/>
          <w:sz w:val="20"/>
        </w:rPr>
        <w:t xml:space="preserve">Legend Biotech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2101 Cottontail Lane </w:t>
      </w:r>
    </w:p>
    <w:p>
      <w:pPr>
        <w:pStyle w:val="TextBody"/>
        <w:bidi w:val="0"/>
        <w:spacing w:before="0" w:after="0"/>
        <w:jc w:val="center"/>
        <w:rPr>
          <w:rFonts w:ascii="Times New Roman" w:hAnsi="Times New Roman"/>
          <w:b/>
          <w:sz w:val="20"/>
        </w:rPr>
      </w:pPr>
      <w:r>
        <w:rPr>
          <w:rFonts w:ascii="Times New Roman" w:hAnsi="Times New Roman"/>
          <w:b/>
          <w:sz w:val="20"/>
        </w:rPr>
        <w:t xml:space="preserve">Somerset, NJ 08873 </w:t>
      </w:r>
    </w:p>
    <w:p>
      <w:pPr>
        <w:pStyle w:val="TextBody"/>
        <w:bidi w:val="0"/>
        <w:spacing w:before="0" w:after="0"/>
        <w:jc w:val="center"/>
        <w:rPr>
          <w:rFonts w:ascii="Times New Roman" w:hAnsi="Times New Roman"/>
          <w:b/>
          <w:sz w:val="20"/>
        </w:rPr>
      </w:pPr>
      <w:r>
        <w:rPr>
          <w:rFonts w:ascii="Times New Roman" w:hAnsi="Times New Roman"/>
          <w:b/>
          <w:sz w:val="20"/>
        </w:rPr>
        <w:t xml:space="preserve">(732) 317-5050 </w:t>
      </w:r>
    </w:p>
    <w:p>
      <w:pPr>
        <w:pStyle w:val="TextBody"/>
        <w:bidi w:val="0"/>
        <w:spacing w:before="240" w:after="0"/>
        <w:jc w:val="left"/>
        <w:rPr>
          <w:rFonts w:ascii="Times New Roman" w:hAnsi="Times New Roman"/>
          <w:sz w:val="20"/>
        </w:rPr>
      </w:pPr>
      <w:r>
        <w:rPr>
          <w:rFonts w:ascii="Times New Roman" w:hAnsi="Times New Roman"/>
          <w:sz w:val="20"/>
        </w:rPr>
        <w:t xml:space="preserve">You may also access these documents on our website, www.legendbiotech.com. The information contained on this website is not a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that we incorporate by reference or provide in this prospectus. We have not authorized anyone to provide you with different information. We are not making any offer of these securities in any jurisdiction where the offer is not permitted. You should not assume that the information in this prospectus is accurate as of any date other than the date on the front of those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500" w:after="0"/>
        <w:jc w:val="center"/>
        <w:rPr>
          <w:rFonts w:ascii="Times New Roman" w:hAnsi="Times New Roman"/>
          <w:b/>
          <w:sz w:val="32"/>
        </w:rPr>
      </w:pPr>
      <w:r>
        <w:rPr>
          <w:rFonts w:ascii="Times New Roman" w:hAnsi="Times New Roman"/>
          <w:b/>
          <w:sz w:val="32"/>
        </w:rPr>
        <w:t xml:space="preserve">7,700,000 </w:t>
      </w:r>
    </w:p>
    <w:p>
      <w:pPr>
        <w:pStyle w:val="TextBody"/>
        <w:bidi w:val="0"/>
        <w:spacing w:before="0" w:after="0"/>
        <w:jc w:val="center"/>
        <w:rPr>
          <w:rFonts w:ascii="Times New Roman" w:hAnsi="Times New Roman"/>
          <w:b/>
          <w:sz w:val="32"/>
        </w:rPr>
      </w:pPr>
      <w:r>
        <w:rPr>
          <w:rFonts w:ascii="Times New Roman" w:hAnsi="Times New Roman"/>
          <w:b/>
          <w:sz w:val="32"/>
        </w:rPr>
        <w:t xml:space="preserve">American Depositary Shares </w:t>
      </w:r>
    </w:p>
    <w:p>
      <w:pPr>
        <w:pStyle w:val="TextBody"/>
        <w:bidi w:val="0"/>
        <w:spacing w:before="0" w:after="0"/>
        <w:jc w:val="center"/>
        <w:rPr/>
      </w:pPr>
      <w:r>
        <w:rPr/>
        <w:drawing>
          <wp:inline distT="0" distB="0" distL="0" distR="0">
            <wp:extent cx="2620010" cy="112268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2"/>
                    <a:stretch>
                      <a:fillRect/>
                    </a:stretch>
                  </pic:blipFill>
                  <pic:spPr bwMode="auto">
                    <a:xfrm>
                      <a:off x="0" y="0"/>
                      <a:ext cx="2620010" cy="1122680"/>
                    </a:xfrm>
                    <a:prstGeom prst="rect">
                      <a:avLst/>
                    </a:prstGeom>
                  </pic:spPr>
                </pic:pic>
              </a:graphicData>
            </a:graphic>
          </wp:inline>
        </w:drawing>
      </w:r>
      <w:r>
        <w:rPr/>
        <w:t xml:space="preserve"> </w:t>
      </w:r>
    </w:p>
    <w:p>
      <w:pPr>
        <w:pStyle w:val="TextBody"/>
        <w:bidi w:val="0"/>
        <w:spacing w:before="800" w:after="0"/>
        <w:jc w:val="center"/>
        <w:rPr>
          <w:rFonts w:ascii="Times New Roman" w:hAnsi="Times New Roman"/>
          <w:b/>
          <w:sz w:val="32"/>
        </w:rPr>
      </w:pPr>
      <w:r>
        <w:rPr>
          <w:rFonts w:ascii="Times New Roman" w:hAnsi="Times New Roman"/>
          <w:b/>
          <w:sz w:val="32"/>
        </w:rPr>
        <w:t xml:space="preserve">Representing 15,400,000 Ordinary Shares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0" w:after="0"/>
        <w:jc w:val="center"/>
        <w:rPr>
          <w:rFonts w:ascii="Times New Roman" w:hAnsi="Times New Roman"/>
          <w:b/>
          <w:i/>
          <w:sz w:val="24"/>
        </w:rPr>
      </w:pPr>
      <w:r>
        <w:rPr>
          <w:rFonts w:ascii="Times New Roman" w:hAnsi="Times New Roman"/>
          <w:b/>
          <w:i/>
          <w:sz w:val="24"/>
        </w:rPr>
        <w:t xml:space="preserve">Joint Bookrunners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47"/>
        <w:gridCol w:w="101"/>
        <w:gridCol w:w="1838"/>
        <w:gridCol w:w="101"/>
        <w:gridCol w:w="2041"/>
        <w:gridCol w:w="102"/>
        <w:gridCol w:w="3675"/>
      </w:tblGrid>
      <w:tr>
        <w:trPr/>
        <w:tc>
          <w:tcPr>
            <w:tcW w:w="234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675" w:type="dxa"/>
            <w:tcBorders/>
            <w:vAlign w:val="center"/>
          </w:tcPr>
          <w:p>
            <w:pPr>
              <w:pStyle w:val="TableContents"/>
              <w:bidi w:val="0"/>
              <w:spacing w:before="0" w:after="283"/>
              <w:jc w:val="left"/>
              <w:rPr>
                <w:sz w:val="4"/>
                <w:szCs w:val="4"/>
              </w:rPr>
            </w:pPr>
            <w:r>
              <w:rPr>
                <w:sz w:val="4"/>
                <w:szCs w:val="4"/>
              </w:rPr>
            </w:r>
          </w:p>
        </w:tc>
      </w:tr>
      <w:tr>
        <w:trPr/>
        <w:tc>
          <w:tcPr>
            <w:tcW w:w="2347" w:type="dxa"/>
            <w:tcBorders/>
          </w:tcPr>
          <w:p>
            <w:pPr>
              <w:pStyle w:val="TableContents"/>
              <w:bidi w:val="0"/>
              <w:spacing w:before="0" w:after="283"/>
              <w:jc w:val="left"/>
              <w:rPr>
                <w:b/>
              </w:rPr>
            </w:pPr>
            <w:r>
              <w:rPr>
                <w:b/>
              </w:rPr>
              <w:t>Morgan Stanley</w:t>
            </w:r>
          </w:p>
        </w:tc>
        <w:tc>
          <w:tcPr>
            <w:tcW w:w="101" w:type="dxa"/>
            <w:tcBorders/>
            <w:vAlign w:val="bottom"/>
          </w:tcPr>
          <w:p>
            <w:pPr>
              <w:pStyle w:val="TableContents"/>
              <w:bidi w:val="0"/>
              <w:spacing w:before="0" w:after="283"/>
              <w:jc w:val="left"/>
              <w:rPr/>
            </w:pPr>
            <w:r>
              <w:rPr/>
              <w:t> </w:t>
            </w:r>
          </w:p>
        </w:tc>
        <w:tc>
          <w:tcPr>
            <w:tcW w:w="1838" w:type="dxa"/>
            <w:tcBorders/>
          </w:tcPr>
          <w:p>
            <w:pPr>
              <w:pStyle w:val="TableContents"/>
              <w:bidi w:val="0"/>
              <w:spacing w:before="0" w:after="283"/>
              <w:jc w:val="center"/>
              <w:rPr>
                <w:b/>
              </w:rPr>
            </w:pPr>
            <w:r>
              <w:rPr>
                <w:b/>
              </w:rPr>
              <w:t>Jefferies</w:t>
            </w:r>
          </w:p>
        </w:tc>
        <w:tc>
          <w:tcPr>
            <w:tcW w:w="101" w:type="dxa"/>
            <w:tcBorders/>
            <w:vAlign w:val="bottom"/>
          </w:tcPr>
          <w:p>
            <w:pPr>
              <w:pStyle w:val="TableContents"/>
              <w:bidi w:val="0"/>
              <w:spacing w:before="0" w:after="283"/>
              <w:jc w:val="left"/>
              <w:rPr/>
            </w:pPr>
            <w:r>
              <w:rPr/>
              <w:t> </w:t>
            </w:r>
          </w:p>
        </w:tc>
        <w:tc>
          <w:tcPr>
            <w:tcW w:w="2041" w:type="dxa"/>
            <w:tcBorders/>
            <w:vAlign w:val="bottom"/>
          </w:tcPr>
          <w:p>
            <w:pPr>
              <w:pStyle w:val="TableContents"/>
              <w:bidi w:val="0"/>
              <w:spacing w:before="0" w:after="283"/>
              <w:jc w:val="center"/>
              <w:rPr>
                <w:b/>
              </w:rPr>
            </w:pPr>
            <w:r>
              <w:rPr>
                <w:b/>
              </w:rPr>
              <w:t>Citigroup</w:t>
            </w:r>
          </w:p>
        </w:tc>
        <w:tc>
          <w:tcPr>
            <w:tcW w:w="102" w:type="dxa"/>
            <w:tcBorders/>
            <w:vAlign w:val="bottom"/>
          </w:tcPr>
          <w:p>
            <w:pPr>
              <w:pStyle w:val="TableContents"/>
              <w:bidi w:val="0"/>
              <w:spacing w:before="0" w:after="283"/>
              <w:jc w:val="left"/>
              <w:rPr/>
            </w:pPr>
            <w:r>
              <w:rPr/>
              <w:t> </w:t>
            </w:r>
          </w:p>
        </w:tc>
        <w:tc>
          <w:tcPr>
            <w:tcW w:w="3675" w:type="dxa"/>
            <w:tcBorders/>
            <w:vAlign w:val="bottom"/>
          </w:tcPr>
          <w:p>
            <w:pPr>
              <w:pStyle w:val="TableContents"/>
              <w:bidi w:val="0"/>
              <w:spacing w:before="0" w:after="283"/>
              <w:jc w:val="right"/>
              <w:rPr>
                <w:b/>
              </w:rPr>
            </w:pPr>
            <w:r>
              <w:rPr>
                <w:b/>
              </w:rPr>
              <w:t>Deutsche Bank Securities</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June 17,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p>
      <w:pPr>
        <w:pStyle w:val="Normal"/>
        <w:bidi w:val="0"/>
        <w:spacing w:before="0" w:after="0"/>
        <w:jc w:val="left"/>
        <w:rPr>
          <w:sz w:val="4"/>
          <w:szCs w:val="4"/>
        </w:rPr>
      </w:pPr>
      <w:r>
        <w:rPr>
          <w:sz w:val="4"/>
          <w:szCs w:val="4"/>
        </w:rPr>
      </w:r>
      <w:bookmarkStart w:id="35" w:name="d150521dexfilingfees.htm"/>
      <w:bookmarkStart w:id="36" w:name="ksd150521dexfilingfees"/>
      <w:bookmarkStart w:id="37" w:name="d150521dexfilingfees.htm"/>
      <w:bookmarkStart w:id="38" w:name="ksd150521dexfilingfees"/>
      <w:bookmarkEnd w:id="37"/>
      <w:bookmarkEnd w:id="38"/>
      <w:r>
        <w:br w:type="page"/>
      </w:r>
    </w:p>
    <w:tbl>
      <w:tblPr>
        <w:tblW w:w="3571" w:type="dxa"/>
        <w:jc w:val="left"/>
        <w:tblInd w:w="0" w:type="dxa"/>
        <w:tblLayout w:type="fixed"/>
        <w:tblCellMar>
          <w:top w:w="28" w:type="dxa"/>
          <w:left w:w="28" w:type="dxa"/>
          <w:bottom w:w="28" w:type="dxa"/>
          <w:right w:w="28" w:type="dxa"/>
        </w:tblCellMar>
      </w:tblPr>
      <w:tblGrid>
        <w:gridCol w:w="3417"/>
        <w:gridCol w:w="154"/>
      </w:tblGrid>
      <w:tr>
        <w:trPr/>
        <w:tc>
          <w:tcPr>
            <w:tcW w:w="3571"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7" w:type="dxa"/>
            <w:tcBorders/>
            <w:vAlign w:val="center"/>
          </w:tcPr>
          <w:p>
            <w:pPr>
              <w:pStyle w:val="TableContents"/>
              <w:bidi w:val="0"/>
              <w:spacing w:before="0" w:after="283"/>
              <w:jc w:val="left"/>
              <w:rPr>
                <w:b/>
              </w:rPr>
            </w:pPr>
            <w:r>
              <w:rPr>
                <w:b/>
              </w:rPr>
              <w:t xml:space="preserve">F-3 </w:t>
            </w:r>
          </w:p>
        </w:tc>
        <w:tc>
          <w:tcPr>
            <w:tcW w:w="154" w:type="dxa"/>
            <w:tcBorders/>
          </w:tcPr>
          <w:p>
            <w:pPr>
              <w:pStyle w:val="TableContents"/>
              <w:bidi w:val="0"/>
              <w:spacing w:before="0" w:after="283"/>
              <w:jc w:val="left"/>
              <w:rPr>
                <w:sz w:val="4"/>
                <w:szCs w:val="4"/>
              </w:rPr>
            </w:pPr>
            <w:r>
              <w:rPr>
                <w:sz w:val="4"/>
                <w:szCs w:val="4"/>
              </w:rPr>
            </w:r>
          </w:p>
        </w:tc>
      </w:tr>
      <w:tr>
        <w:trPr/>
        <w:tc>
          <w:tcPr>
            <w:tcW w:w="3417" w:type="dxa"/>
            <w:tcBorders/>
            <w:vAlign w:val="center"/>
          </w:tcPr>
          <w:p>
            <w:pPr>
              <w:pStyle w:val="TableContents"/>
              <w:bidi w:val="0"/>
              <w:spacing w:before="0" w:after="283"/>
              <w:jc w:val="left"/>
              <w:rPr>
                <w:b/>
              </w:rPr>
            </w:pPr>
            <w:r>
              <w:rPr>
                <w:b/>
              </w:rPr>
              <w:t xml:space="preserve">Legend Biotech Corp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524" w:type="dxa"/>
        <w:jc w:val="left"/>
        <w:tblInd w:w="0" w:type="dxa"/>
        <w:tblLayout w:type="fixed"/>
        <w:tblCellMar>
          <w:top w:w="28" w:type="dxa"/>
          <w:left w:w="28" w:type="dxa"/>
          <w:bottom w:w="28" w:type="dxa"/>
          <w:right w:w="28" w:type="dxa"/>
        </w:tblCellMar>
      </w:tblPr>
      <w:tblGrid>
        <w:gridCol w:w="1126"/>
        <w:gridCol w:w="226"/>
        <w:gridCol w:w="946"/>
        <w:gridCol w:w="961"/>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6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52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61" w:type="dxa"/>
            <w:tcBorders/>
            <w:shd w:fill="E7E7E2" w:val="clear"/>
            <w:vAlign w:val="center"/>
          </w:tcPr>
          <w:p>
            <w:pPr>
              <w:pStyle w:val="TableContents"/>
              <w:bidi w:val="0"/>
              <w:spacing w:before="0" w:after="283"/>
              <w:jc w:val="left"/>
              <w:rPr/>
            </w:pPr>
            <w:r>
              <w:rPr/>
              <w:t xml:space="preserve">Ordinary shares, $0.0001 par value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right"/>
              <w:rPr/>
            </w:pPr>
            <w:r>
              <w:rPr/>
              <w:t xml:space="preserve">17,710,000 </w:t>
            </w:r>
          </w:p>
        </w:tc>
        <w:tc>
          <w:tcPr>
            <w:tcW w:w="1156" w:type="dxa"/>
            <w:tcBorders/>
            <w:shd w:fill="E7E7E2" w:val="clear"/>
            <w:vAlign w:val="center"/>
          </w:tcPr>
          <w:p>
            <w:pPr>
              <w:pStyle w:val="TableContents"/>
              <w:bidi w:val="0"/>
              <w:spacing w:before="0" w:after="283"/>
              <w:jc w:val="right"/>
              <w:rPr/>
            </w:pPr>
            <w:r>
              <w:rPr/>
              <w:t xml:space="preserve">$ 14.68 </w:t>
            </w:r>
          </w:p>
        </w:tc>
        <w:tc>
          <w:tcPr>
            <w:tcW w:w="1786" w:type="dxa"/>
            <w:tcBorders/>
            <w:shd w:fill="E7E7E2" w:val="clear"/>
            <w:vAlign w:val="center"/>
          </w:tcPr>
          <w:p>
            <w:pPr>
              <w:pStyle w:val="TableContents"/>
              <w:bidi w:val="0"/>
              <w:spacing w:before="0" w:after="283"/>
              <w:jc w:val="right"/>
              <w:rPr/>
            </w:pPr>
            <w:r>
              <w:rPr/>
              <w:t xml:space="preserve">$ 259,982,800.00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$ 35,903.62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52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2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39" w:name="MaxAggtOfferingPrice"/>
            <w:bookmarkEnd w:id="39"/>
            <w:r>
              <w:rPr/>
              <w:t xml:space="preserve">$ 259,982,800.00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40" w:name="TotalFeeAmt"/>
            <w:bookmarkEnd w:id="40"/>
            <w:r>
              <w:rPr/>
              <w:t xml:space="preserve">$ 35,903.62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2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1" w:name="TotalPreviouslyPaidAmt"/>
            <w:bookmarkEnd w:id="41"/>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2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2" w:name="TotalOffsetAmt"/>
            <w:bookmarkEnd w:id="42"/>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2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3" w:name="NetFeeAmt"/>
            <w:bookmarkEnd w:id="43"/>
            <w:r>
              <w:rPr/>
              <w:t xml:space="preserve">$ 35,903.62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4"/>
        <w:gridCol w:w="1296"/>
        <w:gridCol w:w="8705"/>
      </w:tblGrid>
      <w:tr>
        <w:trPr/>
        <w:tc>
          <w:tcPr>
            <w:tcW w:w="204"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1" w:type="dxa"/>
            <w:gridSpan w:val="2"/>
            <w:tcBorders/>
            <w:vAlign w:val="center"/>
          </w:tcPr>
          <w:p>
            <w:pPr>
              <w:pStyle w:val="TableContents"/>
              <w:bidi w:val="0"/>
              <w:spacing w:before="0" w:after="283"/>
              <w:jc w:val="left"/>
              <w:rPr/>
            </w:pPr>
            <w:r>
              <w:rPr/>
              <w:t xml:space="preserve">Calculated in accordance with Rule 457(r) under the Securities Act of 1933, as amended (the "Securities Act"). The fee payable in connection with the offering pursuant to this prospectus supplement has been paid in accordance with Rule 456(b) under the Securities Act and represents deferred payment of the registration fees in connection with the Registrant's Registration Statement on Form F-3 (Registration No. 333-278050) (the "Registration Statement"). This "Calculation of Filing Fee Tables" shall be deemed to update the "Calculation of Filing Fee Tables" filed as Exhibit 107 to the Registration Statement in accordance with Rules 456(b) and 457(r) under the Securities Act. </w:t>
            </w:r>
          </w:p>
        </w:tc>
      </w:tr>
      <w:tr>
        <w:trPr/>
        <w:tc>
          <w:tcPr>
            <w:tcW w:w="1500" w:type="dxa"/>
            <w:gridSpan w:val="2"/>
            <w:tcBorders/>
            <w:vAlign w:val="center"/>
          </w:tcPr>
          <w:p>
            <w:pPr>
              <w:pStyle w:val="HorizontalLine"/>
              <w:pBdr>
                <w:bottom w:val="double" w:sz="2" w:space="0" w:color="808080"/>
              </w:pBdr>
              <w:bidi w:val="0"/>
              <w:spacing w:before="0" w:after="283"/>
              <w:jc w:val="left"/>
              <w:rPr/>
            </w:pPr>
            <w:r>
              <w:rPr/>
            </w:r>
          </w:p>
        </w:tc>
        <w:tc>
          <w:tcPr>
            <w:tcW w:w="8705"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offering price of the securities to which the prospectus relates is $259,982,800.00. The prospectus is a final prospectus for the related offering. </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801198/000180119826000008/legn-20251231.htm" TargetMode="External"/><Relationship Id="rId4" Type="http://schemas.openxmlformats.org/officeDocument/2006/relationships/hyperlink" Target="http://www.sec.gov/Archives/edgar/data/1801198/000119312520158448/d904346d8a12b.htm" TargetMode="External"/><Relationship Id="rId5" Type="http://schemas.openxmlformats.org/officeDocument/2006/relationships/hyperlink" Target="http://www.sec.gov/Archives/edgar/data/1801198/000180119826000008/exhibit24.htm" TargetMode="External"/><Relationship Id="rId6" Type="http://schemas.openxmlformats.org/officeDocument/2006/relationships/hyperlink" Target="http://www.sec.gov/Archives/edgar/data/1801198/000117184326000206/f6k_010926.htm" TargetMode="External"/><Relationship Id="rId7" Type="http://schemas.openxmlformats.org/officeDocument/2006/relationships/hyperlink" Target="http://www.sec.gov/Archives/edgar/data/1801198/000117184326000257/f6k_011426.htm" TargetMode="External"/><Relationship Id="rId8" Type="http://schemas.openxmlformats.org/officeDocument/2006/relationships/hyperlink" Target="http://www.sec.gov/Archives/edgar/data/1801198/000117184326000356/f6k_012026.htm" TargetMode="External"/><Relationship Id="rId9" Type="http://schemas.openxmlformats.org/officeDocument/2006/relationships/hyperlink" Target="http://www.sec.gov/Archives/edgar/data/1801198/000117184326000398/f6k_012326.htm" TargetMode="External"/><Relationship Id="rId10" Type="http://schemas.openxmlformats.org/officeDocument/2006/relationships/hyperlink" Target="http://www.sec.gov/Archives/edgar/data/1801198/000117184326000675/f6k_020426.htm" TargetMode="External"/><Relationship Id="rId11" Type="http://schemas.openxmlformats.org/officeDocument/2006/relationships/hyperlink" Target="http://www.sec.gov/Archives/edgar/data/1801198/000117184326001444/f6k_030926.htm" TargetMode="External"/><Relationship Id="rId12" Type="http://schemas.openxmlformats.org/officeDocument/2006/relationships/hyperlink" Target="http://www.sec.gov/Archives/edgar/data/1801198/000117184326002425/f6k_041426.htm" TargetMode="External"/><Relationship Id="rId13" Type="http://schemas.openxmlformats.org/officeDocument/2006/relationships/hyperlink" Target="http://www.sec.gov/Archives/edgar/data/../../../ix?doc=/Archives/edgar/data/1801198/000180119826000014/legn-20260331.htm" TargetMode="External"/><Relationship Id="rId14" Type="http://schemas.openxmlformats.org/officeDocument/2006/relationships/hyperlink" Target="http://www.sec.gov/Archives/edgar/data/1801198/000117184326003622/f6k_052126.htm" TargetMode="External"/><Relationship Id="rId15" Type="http://schemas.openxmlformats.org/officeDocument/2006/relationships/hyperlink" Target="http://www.sec.gov/Archives/edgar/data/1801198/000117184326003825/f6k_060126.htm" TargetMode="External"/><Relationship Id="rId16" Type="http://schemas.openxmlformats.org/officeDocument/2006/relationships/hyperlink" Target="http://www.sec.gov/Archives/edgar/data/1801198/000117184326003866/f6k_060126.htm" TargetMode="External"/><Relationship Id="rId17" Type="http://schemas.openxmlformats.org/officeDocument/2006/relationships/hyperlink" Target="http://www.sec.gov/Archives/edgar/data/1801198/000117184326004120/f6k_061426.htm" TargetMode="External"/><Relationship Id="rId18" Type="http://schemas.openxmlformats.org/officeDocument/2006/relationships/image" Target="media/image2.jpeg"/><Relationship Id="rId19" Type="http://schemas.openxmlformats.org/officeDocument/2006/relationships/hyperlink" Target="http://www.sec.gov/Archives/edgar/data/../../../ix?doc=/Archives/edgar/data/0001801198/000180119824000021/legn-20231231.htm" TargetMode="External"/><Relationship Id="rId20" Type="http://schemas.openxmlformats.org/officeDocument/2006/relationships/hyperlink" Target="http://www.sec.gov/Archives/edgar/data/1801198/000119312520158448/d904346d8a12b.htm" TargetMode="External"/><Relationship Id="rId21" Type="http://schemas.openxmlformats.org/officeDocument/2006/relationships/hyperlink" Target="http://www.sec.gov/Archives/edgar/data/1801198/000180119824000021/exhibit2_4.htm" TargetMode="External"/><Relationship Id="rId22" Type="http://schemas.openxmlformats.org/officeDocument/2006/relationships/image" Target="media/image2.jpe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137</Pages>
  <Words>60198</Words>
  <Characters>316223</Characters>
  <CharactersWithSpaces>377393</CharactersWithSpaces>
  <Paragraphs>3465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