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Date of Report: June 2,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001-39307</w:t>
      </w:r>
    </w:p>
    <w:p>
      <w:pPr>
        <w:spacing w:after="0" w:line="20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Legend Biotech Corporation</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2101 Cottontail Lane</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Somerset, New Jersey 08873</w:t>
      </w: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Legend Biotech Announces Late-Breaking Oral Presentation at EHA 2026</w:t>
      </w:r>
    </w:p>
    <w:p>
      <w:pPr>
        <w:spacing w:after="0" w:line="21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On June 2, 2026, Legend Biotech Corporation (“Legend Biotech”) announced that promising preliminary clinical data for LB2501, its investigational in vivo CD19/CD20 dual-targeting CAR-T cell therapy, in patients with relapsed/refractory B-cell non-Hodgkin lymphoma (R/R B-NHL), will be presented during a late-breaking session at the European Hematology Association (“EHA”) 2026 Congress, taking place June 11-14, 2026, in Stockholm, Sweden.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press release is attached to this Form 6-K as Exhibit 99.1.</w:t>
      </w:r>
    </w:p>
    <w:p>
      <w:pPr>
        <w:spacing w:after="0" w:line="206"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The EHA abstract #7249 is attached to this Form 6-K as Exhibit 99.2. Exhibit 99.2 to this report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0"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The information contained in this Form 6-K, but excluding Exhibit 99.2, is hereby incorporated herein by reference in the registration statements of Legend Biotech on Form F-3 (Nos. 333-278050, 333-272222, and 333-257625) and Form S-8 (No. 333-239478 and 333-283217), to the extent not superseded by documents or reports subsequently filed.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 2026</w:t>
      </w:r>
    </w:p>
    <w:p>
      <w:pPr>
        <w:spacing w:after="0" w:line="2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EHA Abstract, dated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Legend Biotech Corporation</w:t>
            </w:r>
          </w:p>
        </w:tc>
      </w:tr>
      <w:tr>
        <w:trPr>
          <w:trHeight w:val="237"/>
        </w:trPr>
        <w:tc>
          <w:tcPr>
            <w:tcW w:w="7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56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Ying Huang</w:t>
            </w:r>
          </w:p>
        </w:tc>
        <w:tc>
          <w:tcPr>
            <w:tcW w:w="560" w:type="dxa"/>
            <w:vAlign w:val="bottom"/>
          </w:tcPr>
          <w:p>
            <w:pPr>
              <w:spacing w:after="0"/>
              <w:rPr>
                <w:sz w:val="24"/>
                <w:szCs w:val="24"/>
                <w:color w:val="auto"/>
              </w:rPr>
            </w:pPr>
          </w:p>
        </w:tc>
      </w:tr>
      <w:tr>
        <w:trPr>
          <w:trHeight w:val="218"/>
        </w:trPr>
        <w:tc>
          <w:tcPr>
            <w:tcW w:w="7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Ying Huang, Ph.D.</w:t>
            </w:r>
          </w:p>
        </w:tc>
      </w:tr>
      <w:tr>
        <w:trPr>
          <w:trHeight w:val="234"/>
        </w:trPr>
        <w:tc>
          <w:tcPr>
            <w:tcW w:w="7320" w:type="dxa"/>
            <w:vAlign w:val="bottom"/>
          </w:tcPr>
          <w:p>
            <w:pPr>
              <w:spacing w:after="0"/>
              <w:rPr>
                <w:sz w:val="20"/>
                <w:szCs w:val="20"/>
                <w:color w:val="auto"/>
              </w:rPr>
            </w:pP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Legend Biotech Announces Late-Breaking Oral Presentation at EHA 2026 Showcasing Initial Phase 1 In Vivo CAR-T Data with LB2501 in Non-Hodgkin Lymphoma (NHL)</w:t>
      </w:r>
    </w:p>
    <w:p>
      <w:pPr>
        <w:spacing w:after="0" w:line="89" w:lineRule="exact"/>
        <w:rPr>
          <w:sz w:val="20"/>
          <w:szCs w:val="20"/>
          <w:color w:val="auto"/>
        </w:rPr>
      </w:pPr>
    </w:p>
    <w:p>
      <w:pPr>
        <w:ind w:left="540"/>
        <w:spacing w:after="0" w:line="309" w:lineRule="exact"/>
        <w:rPr>
          <w:sz w:val="20"/>
          <w:szCs w:val="20"/>
          <w:color w:val="auto"/>
        </w:rPr>
      </w:pPr>
      <w:r>
        <w:rPr>
          <w:rFonts w:ascii="Times New Roman" w:cs="Times New Roman" w:eastAsia="Times New Roman" w:hAnsi="Times New Roman"/>
          <w:sz w:val="22"/>
          <w:szCs w:val="22"/>
          <w:i w:val="1"/>
          <w:iCs w:val="1"/>
          <w:color w:val="auto"/>
        </w:rPr>
        <w:t>Promising Phase 1 data for LB2501, a potential first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in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class CD19/CD20 dual</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targeting in vivo CAR-T therapy, as an off-the-shelf, single-infusion treatment for B</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cell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-296545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 w:lineRule="exact"/>
        <w:rPr>
          <w:sz w:val="20"/>
          <w:szCs w:val="20"/>
          <w:color w:val="auto"/>
        </w:rPr>
      </w:pPr>
    </w:p>
    <w:p>
      <w:pPr>
        <w:ind w:left="540" w:right="60"/>
        <w:spacing w:after="0" w:line="262" w:lineRule="auto"/>
        <w:rPr>
          <w:sz w:val="20"/>
          <w:szCs w:val="20"/>
          <w:color w:val="auto"/>
        </w:rPr>
      </w:pPr>
      <w:r>
        <w:rPr>
          <w:rFonts w:ascii="Times New Roman" w:cs="Times New Roman" w:eastAsia="Times New Roman" w:hAnsi="Times New Roman"/>
          <w:sz w:val="22"/>
          <w:szCs w:val="22"/>
          <w:i w:val="1"/>
          <w:iCs w:val="1"/>
          <w:color w:val="auto"/>
        </w:rPr>
        <w:t>An ORR of 100% (6/6) was observed in the dose level 2 cohort, including CR rate of 83.3% (5/6) in patients with relapsed/ refractory NHL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 w:lineRule="exact"/>
        <w:rPr>
          <w:sz w:val="20"/>
          <w:szCs w:val="20"/>
          <w:color w:val="auto"/>
        </w:rPr>
      </w:pPr>
    </w:p>
    <w:p>
      <w:pPr>
        <w:ind w:left="540" w:right="2840"/>
        <w:spacing w:after="0" w:line="364" w:lineRule="auto"/>
        <w:rPr>
          <w:sz w:val="20"/>
          <w:szCs w:val="20"/>
          <w:color w:val="auto"/>
        </w:rPr>
      </w:pPr>
      <w:r>
        <w:rPr>
          <w:rFonts w:ascii="Times New Roman" w:cs="Times New Roman" w:eastAsia="Times New Roman" w:hAnsi="Times New Roman"/>
          <w:sz w:val="22"/>
          <w:szCs w:val="22"/>
          <w:i w:val="1"/>
          <w:iCs w:val="1"/>
          <w:color w:val="auto"/>
        </w:rPr>
        <w:t>Data demonstrate robust in vivo CAR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T expansion without lymphodepleting chemotherapy Favorable safety profile: no DLTs, no SAEs, no ICANS, CRS </w:t>
      </w:r>
      <w:r>
        <w:rPr>
          <w:rFonts w:ascii="Times New Roman" w:cs="Times New Roman" w:eastAsia="Times New Roman" w:hAnsi="Times New Roman"/>
          <w:sz w:val="22"/>
          <w:szCs w:val="22"/>
          <w:i w:val="1"/>
          <w:iCs w:val="1"/>
          <w:u w:val="single" w:color="auto"/>
          <w:color w:val="auto"/>
        </w:rPr>
        <w:t>&lt;</w:t>
      </w:r>
      <w:r>
        <w:rPr>
          <w:rFonts w:ascii="Times New Roman" w:cs="Times New Roman" w:eastAsia="Times New Roman" w:hAnsi="Times New Roman"/>
          <w:sz w:val="22"/>
          <w:szCs w:val="22"/>
          <w:i w:val="1"/>
          <w:iCs w:val="1"/>
          <w:color w:val="auto"/>
        </w:rPr>
        <w:t>Grade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-419100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-196215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BRIDGEWATER, N.J., June 02, 2026 (GLOBE NEWSWIRE) -- Legend Biotech Corporation (NASDAQ: LEGN) (Legend Biotech or the Company), a global leader in cell therapy, today announced that promising preliminary clinical data for LB2501, its investigational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CD19/CD20 dual-targeting CAR-T cell therapy, in patients with relapsed/refractory B-cell non-Hodgkin lymphoma (R/R B-NHL), will be presented during a late-breaking session at the European Hematology Association (EHA) 2026 Congress, taking place June 11-14, 2026, in Stockholm, Sweden.</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upcoming presentation of Phase 1 LB2501 data in patients with B-cell malignancies represents an important step in advancing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CAR-T approaches,” said Ying Huang, Ph.D., Chief Executive Officer of Legend Biotech. “By generating CAR-T cells directly within the patient, this approach has the potential to simplify treatment delivery and expand access for patients who may not be able to receive traditional CAR-T cell therapies. LB2501 is built on the TaVec™ platform, which is a proprietary lentiviral vector engineered to enhance T-cell specificity, transduction efficiency, and safety, while restricting transduction of non-T cells.”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LB2501: Promising Phase 1 Trial of </w:t>
      </w:r>
      <w:r>
        <w:rPr>
          <w:rFonts w:ascii="Times New Roman" w:cs="Times New Roman" w:eastAsia="Times New Roman" w:hAnsi="Times New Roman"/>
          <w:sz w:val="22"/>
          <w:szCs w:val="22"/>
          <w:b w:val="1"/>
          <w:bCs w:val="1"/>
          <w:i w:val="1"/>
          <w:iCs w:val="1"/>
          <w:color w:val="auto"/>
        </w:rPr>
        <w:t>In Vivo</w:t>
      </w:r>
      <w:r>
        <w:rPr>
          <w:rFonts w:ascii="Times New Roman" w:cs="Times New Roman" w:eastAsia="Times New Roman" w:hAnsi="Times New Roman"/>
          <w:sz w:val="22"/>
          <w:szCs w:val="22"/>
          <w:b w:val="1"/>
          <w:bCs w:val="1"/>
          <w:color w:val="auto"/>
        </w:rPr>
        <w:t xml:space="preserve"> CAR-T Data Demonstrate High Response Rates in B-cell Malignancies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Data from 12 patients across two dose cohorts in an ongoing Phase 1 study evaluating LB2501 in patients with R/R B-NHL provide early clinical evidence supporting the potential of an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CAR-T approach in B-cell malignancies. LB2501 is designed to generate CAR-T cells directly within the patient following a single intravenous infusion, eliminating the need for cell manufacturing and lymphodepletion.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April 1, 2026, 12 patients with R/R B-NHL were treated across two dose levels (DL1 and DL2). Additional details will be presented at EHA 2026. Key findings from the abstract include: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Efficacy Results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At DL2 (median follow-up for DL2 was 2.2 months [range, 2.0 to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2"/>
          <w:szCs w:val="22"/>
          <w:color w:val="auto"/>
        </w:rPr>
        <w:t>Objective response rate (ORR): 100%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-104140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0" w:lineRule="auto"/>
        <w:rPr>
          <w:sz w:val="20"/>
          <w:szCs w:val="20"/>
          <w:color w:val="auto"/>
        </w:rPr>
      </w:pPr>
      <w:r>
        <w:rPr>
          <w:rFonts w:ascii="Times New Roman" w:cs="Times New Roman" w:eastAsia="Times New Roman" w:hAnsi="Times New Roman"/>
          <w:sz w:val="22"/>
          <w:szCs w:val="22"/>
          <w:color w:val="auto"/>
        </w:rPr>
        <w:t>Complete response rate (CR): 83.3%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-103505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2"/>
          <w:szCs w:val="22"/>
          <w:color w:val="auto"/>
        </w:rPr>
        <w:t>All responses were ongoing at data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-110490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Pharmacokinetics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Dose-dependent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CAR-T expansion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CAR-T cells detected in peripheral blood for up to 116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Safety Results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No dose-limiting toxicities (DLTs), serious adverse events (SAEs), or deaths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Infusion-related reactions occurred in 75% of patients, all of which were ≤ Grade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Cytokine release syndrome (CRS) occurred in 66.7% of patients, all of which were ≤ Grade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No immune effector cell-associated neurotoxicity syndrome (ICANS) was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40"/>
        <w:spacing w:after="0" w:line="237" w:lineRule="auto"/>
        <w:rPr>
          <w:sz w:val="20"/>
          <w:szCs w:val="20"/>
          <w:color w:val="auto"/>
        </w:rPr>
      </w:pPr>
      <w:r>
        <w:rPr>
          <w:rFonts w:ascii="Times New Roman" w:cs="Times New Roman" w:eastAsia="Times New Roman" w:hAnsi="Times New Roman"/>
          <w:sz w:val="22"/>
          <w:szCs w:val="22"/>
          <w:color w:val="auto"/>
        </w:rPr>
        <w:t>Grade ≥3 lentiviral vector-related and CAR-T-related adverse events were limited to decreased lymphocyte count and decreased neutrophil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EHA Presentation (June 11-14, 2026)</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1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Abstract No.</w:t>
            </w:r>
          </w:p>
        </w:tc>
        <w:tc>
          <w:tcPr>
            <w:tcW w:w="57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336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Information</w:t>
            </w:r>
          </w:p>
        </w:tc>
      </w:tr>
      <w:tr>
        <w:trPr>
          <w:trHeight w:val="219"/>
        </w:trPr>
        <w:tc>
          <w:tcPr>
            <w:tcW w:w="2160" w:type="dxa"/>
            <w:vAlign w:val="bottom"/>
            <w:tcBorders>
              <w:left w:val="single" w:sz="8" w:color="auto"/>
              <w:right w:val="single" w:sz="8" w:color="auto"/>
            </w:tcBorders>
          </w:tcPr>
          <w:p>
            <w:pPr>
              <w:ind w:left="160"/>
              <w:spacing w:after="0" w:line="219" w:lineRule="exact"/>
              <w:rPr>
                <w:sz w:val="20"/>
                <w:szCs w:val="20"/>
                <w:color w:val="auto"/>
              </w:rPr>
            </w:pPr>
            <w:r>
              <w:rPr>
                <w:rFonts w:ascii="Times New Roman" w:cs="Times New Roman" w:eastAsia="Times New Roman" w:hAnsi="Times New Roman"/>
                <w:sz w:val="22"/>
                <w:szCs w:val="22"/>
                <w:color w:val="auto"/>
              </w:rPr>
              <w:t>Abstract #LB5006</w:t>
            </w:r>
          </w:p>
        </w:tc>
        <w:tc>
          <w:tcPr>
            <w:tcW w:w="5720" w:type="dxa"/>
            <w:vAlign w:val="bottom"/>
            <w:tcBorders>
              <w:right w:val="single" w:sz="8" w:color="auto"/>
            </w:tcBorders>
          </w:tcPr>
          <w:p>
            <w:pPr>
              <w:ind w:left="120"/>
              <w:spacing w:after="0" w:line="219" w:lineRule="exact"/>
              <w:rPr>
                <w:sz w:val="20"/>
                <w:szCs w:val="20"/>
                <w:color w:val="auto"/>
              </w:rPr>
            </w:pPr>
            <w:r>
              <w:rPr>
                <w:rFonts w:ascii="Times New Roman" w:cs="Times New Roman" w:eastAsia="Times New Roman" w:hAnsi="Times New Roman"/>
                <w:sz w:val="22"/>
                <w:szCs w:val="22"/>
                <w:color w:val="auto"/>
              </w:rPr>
              <w:t xml:space="preserve">First-in-human trial of LB2501, an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CD19/CD20 dual</w:t>
            </w:r>
          </w:p>
        </w:tc>
        <w:tc>
          <w:tcPr>
            <w:tcW w:w="3360" w:type="dxa"/>
            <w:vAlign w:val="bottom"/>
            <w:tcBorders>
              <w:right w:val="single" w:sz="8" w:color="auto"/>
            </w:tcBorders>
          </w:tcPr>
          <w:p>
            <w:pPr>
              <w:ind w:left="140"/>
              <w:spacing w:after="0" w:line="219" w:lineRule="exact"/>
              <w:rPr>
                <w:sz w:val="20"/>
                <w:szCs w:val="20"/>
                <w:color w:val="auto"/>
              </w:rPr>
            </w:pPr>
            <w:r>
              <w:rPr>
                <w:rFonts w:ascii="Times New Roman" w:cs="Times New Roman" w:eastAsia="Times New Roman" w:hAnsi="Times New Roman"/>
                <w:sz w:val="22"/>
                <w:szCs w:val="22"/>
                <w:b w:val="1"/>
                <w:bCs w:val="1"/>
                <w:color w:val="auto"/>
              </w:rPr>
              <w:t xml:space="preserve">Session ID: </w:t>
            </w:r>
            <w:r>
              <w:rPr>
                <w:rFonts w:ascii="Times New Roman" w:cs="Times New Roman" w:eastAsia="Times New Roman" w:hAnsi="Times New Roman"/>
                <w:sz w:val="22"/>
                <w:szCs w:val="22"/>
                <w:color w:val="auto"/>
              </w:rPr>
              <w:t>s204</w:t>
            </w:r>
          </w:p>
        </w:tc>
      </w:tr>
      <w:tr>
        <w:trPr>
          <w:trHeight w:val="247"/>
        </w:trPr>
        <w:tc>
          <w:tcPr>
            <w:tcW w:w="2160" w:type="dxa"/>
            <w:vAlign w:val="bottom"/>
            <w:tcBorders>
              <w:left w:val="single" w:sz="8" w:color="auto"/>
              <w:right w:val="single" w:sz="8" w:color="auto"/>
            </w:tcBorders>
          </w:tcPr>
          <w:p>
            <w:pPr>
              <w:ind w:left="160"/>
              <w:spacing w:after="0" w:line="247" w:lineRule="exact"/>
              <w:rPr>
                <w:sz w:val="20"/>
                <w:szCs w:val="20"/>
                <w:color w:val="auto"/>
              </w:rPr>
            </w:pPr>
            <w:r>
              <w:rPr>
                <w:rFonts w:ascii="Times New Roman" w:cs="Times New Roman" w:eastAsia="Times New Roman" w:hAnsi="Times New Roman"/>
                <w:sz w:val="22"/>
                <w:szCs w:val="22"/>
                <w:color w:val="auto"/>
              </w:rPr>
              <w:t>Late-Breaking Oral</w:t>
            </w:r>
          </w:p>
        </w:tc>
        <w:tc>
          <w:tcPr>
            <w:tcW w:w="5720" w:type="dxa"/>
            <w:vAlign w:val="bottom"/>
            <w:tcBorders>
              <w:right w:val="single" w:sz="8" w:color="auto"/>
            </w:tcBorders>
          </w:tcPr>
          <w:p>
            <w:pPr>
              <w:ind w:left="120"/>
              <w:spacing w:after="0" w:line="247" w:lineRule="exact"/>
              <w:rPr>
                <w:sz w:val="20"/>
                <w:szCs w:val="20"/>
                <w:color w:val="auto"/>
              </w:rPr>
            </w:pPr>
            <w:r>
              <w:rPr>
                <w:rFonts w:ascii="Times New Roman" w:cs="Times New Roman" w:eastAsia="Times New Roman" w:hAnsi="Times New Roman"/>
                <w:sz w:val="22"/>
                <w:szCs w:val="22"/>
                <w:color w:val="auto"/>
              </w:rPr>
              <w:t>targeting CAR-T therapy, in relapsed/refractory B-Cell NHL</w:t>
            </w:r>
          </w:p>
        </w:tc>
        <w:tc>
          <w:tcPr>
            <w:tcW w:w="3360" w:type="dxa"/>
            <w:vAlign w:val="bottom"/>
            <w:tcBorders>
              <w:right w:val="single" w:sz="8" w:color="auto"/>
            </w:tcBorders>
          </w:tcPr>
          <w:p>
            <w:pPr>
              <w:ind w:left="14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Date/Time: </w:t>
            </w:r>
            <w:r>
              <w:rPr>
                <w:rFonts w:ascii="Times New Roman" w:cs="Times New Roman" w:eastAsia="Times New Roman" w:hAnsi="Times New Roman"/>
                <w:sz w:val="22"/>
                <w:szCs w:val="22"/>
                <w:color w:val="auto"/>
              </w:rPr>
              <w:t>Sunday, June 14, 2026,</w:t>
            </w:r>
          </w:p>
        </w:tc>
      </w:tr>
      <w:tr>
        <w:trPr>
          <w:trHeight w:val="239"/>
        </w:trPr>
        <w:tc>
          <w:tcPr>
            <w:tcW w:w="2160" w:type="dxa"/>
            <w:vAlign w:val="bottom"/>
            <w:tcBorders>
              <w:left w:val="single" w:sz="8" w:color="auto"/>
              <w:right w:val="single" w:sz="8" w:color="auto"/>
            </w:tcBorders>
          </w:tcPr>
          <w:p>
            <w:pPr>
              <w:ind w:left="160"/>
              <w:spacing w:after="0" w:line="239" w:lineRule="exact"/>
              <w:rPr>
                <w:sz w:val="20"/>
                <w:szCs w:val="20"/>
                <w:color w:val="auto"/>
              </w:rPr>
            </w:pPr>
            <w:r>
              <w:rPr>
                <w:rFonts w:ascii="Times New Roman" w:cs="Times New Roman" w:eastAsia="Times New Roman" w:hAnsi="Times New Roman"/>
                <w:sz w:val="22"/>
                <w:szCs w:val="22"/>
                <w:color w:val="auto"/>
              </w:rPr>
              <w:t>Presentation</w:t>
            </w:r>
          </w:p>
        </w:tc>
        <w:tc>
          <w:tcPr>
            <w:tcW w:w="572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ind w:left="140"/>
              <w:spacing w:after="0" w:line="239" w:lineRule="exact"/>
              <w:rPr>
                <w:sz w:val="20"/>
                <w:szCs w:val="20"/>
                <w:color w:val="auto"/>
              </w:rPr>
            </w:pPr>
            <w:r>
              <w:rPr>
                <w:rFonts w:ascii="Times New Roman" w:cs="Times New Roman" w:eastAsia="Times New Roman" w:hAnsi="Times New Roman"/>
                <w:sz w:val="22"/>
                <w:szCs w:val="22"/>
                <w:color w:val="auto"/>
              </w:rPr>
              <w:t>9:15-10:45 AM CEST</w:t>
            </w:r>
          </w:p>
        </w:tc>
      </w:tr>
      <w:tr>
        <w:trPr>
          <w:trHeight w:val="287"/>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572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Location: </w:t>
            </w:r>
            <w:r>
              <w:rPr>
                <w:rFonts w:ascii="Times New Roman" w:cs="Times New Roman" w:eastAsia="Times New Roman" w:hAnsi="Times New Roman"/>
                <w:sz w:val="22"/>
                <w:szCs w:val="22"/>
                <w:color w:val="auto"/>
              </w:rPr>
              <w:t>Nobel Hall</w:t>
            </w:r>
          </w:p>
        </w:tc>
      </w:tr>
    </w:tbl>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LB2501</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LB2501 is an investigational, potential first-in-class CD19/CD20 dual-targeting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CAR-T therapy designed to generate CAR-T cells directly within the patient following a single intravenous infusion. It is being evaluated in an ongoing Phase 1, open-label study NCT07002112) in patients with relapsed/refractory B-cell malignancies to assess safety, tolerability, and preliminary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w:t>
      </w:r>
      <w:r>
        <w:rPr>
          <w:rFonts w:ascii="Times New Roman" w:cs="Times New Roman" w:eastAsia="Times New Roman" w:hAnsi="Times New Roman"/>
          <w:sz w:val="35"/>
          <w:szCs w:val="35"/>
          <w:color w:val="auto"/>
          <w:vertAlign w:val="superscript"/>
        </w:rPr>
        <w:t>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B-CELL NON-HODGKIN LYMPHOMA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Non-Hodgkin lymphoma (NHL) is a group of cancers that originate in lymphocytes, a type of white blood cell that plays a key</w:t>
      </w:r>
    </w:p>
    <w:p>
      <w:pPr>
        <w:jc w:val="both"/>
        <w:spacing w:after="0" w:line="197" w:lineRule="auto"/>
        <w:rPr>
          <w:sz w:val="20"/>
          <w:szCs w:val="20"/>
          <w:color w:val="auto"/>
        </w:rPr>
      </w:pPr>
      <w:r>
        <w:rPr>
          <w:rFonts w:ascii="Times New Roman" w:cs="Times New Roman" w:eastAsia="Times New Roman" w:hAnsi="Times New Roman"/>
          <w:sz w:val="22"/>
          <w:szCs w:val="22"/>
          <w:color w:val="auto"/>
        </w:rPr>
        <w:t>role in the body’s immune system.</w:t>
      </w:r>
      <w:r>
        <w:rPr>
          <w:rFonts w:ascii="Times New Roman" w:cs="Times New Roman" w:eastAsia="Times New Roman" w:hAnsi="Times New Roman"/>
          <w:sz w:val="35"/>
          <w:szCs w:val="35"/>
          <w:color w:val="auto"/>
          <w:vertAlign w:val="superscript"/>
        </w:rPr>
        <w:t>ii</w:t>
      </w:r>
      <w:r>
        <w:rPr>
          <w:rFonts w:ascii="Times New Roman" w:cs="Times New Roman" w:eastAsia="Times New Roman" w:hAnsi="Times New Roman"/>
          <w:sz w:val="22"/>
          <w:szCs w:val="22"/>
          <w:color w:val="auto"/>
        </w:rPr>
        <w:t xml:space="preserve"> B-cell lymphomas account for approximately 85% of NHL cases and arise from abnormal growth of B lymphocytes (B cells), which are responsible for producing antibodies. These malignancies include a range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subtypes that vary in aggressiveness, from slow-growing to highly aggressive disease.</w:t>
      </w:r>
      <w:r>
        <w:rPr>
          <w:rFonts w:ascii="Times New Roman" w:cs="Times New Roman" w:eastAsia="Times New Roman" w:hAnsi="Times New Roman"/>
          <w:sz w:val="35"/>
          <w:szCs w:val="35"/>
          <w:color w:val="auto"/>
          <w:vertAlign w:val="superscript"/>
        </w:rPr>
        <w:t>iii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LEGEND BIOTECH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over 3,000 employees, Legend Biotech is the largest standalone cell therapy company and a pioneer in treatments that</w:t>
      </w:r>
    </w:p>
    <w:p>
      <w:pPr>
        <w:jc w:val="both"/>
        <w:spacing w:after="0" w:line="217" w:lineRule="auto"/>
        <w:rPr>
          <w:sz w:val="20"/>
          <w:szCs w:val="20"/>
          <w:color w:val="auto"/>
        </w:rPr>
      </w:pPr>
      <w:r>
        <w:rPr>
          <w:rFonts w:ascii="Times New Roman" w:cs="Times New Roman" w:eastAsia="Times New Roman" w:hAnsi="Times New Roman"/>
          <w:sz w:val="22"/>
          <w:szCs w:val="22"/>
          <w:color w:val="auto"/>
        </w:rPr>
        <w:t>change cancer care forever. Legend Biotech is at the forefront of the CAR-T cell therapy revolution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 one-time treatment for relapsed or refractory multiple myeloma, which it develops and markets with collaborator Johnson &amp; Johnson. Centered in the United States, Legend Biotech is building an end-to-end cell therapy company by expanding its leadership to maximize CARVYKTI’s patient access and therapeutic potential. From this platform, Legend Biotech plans to drive future innovation across its pipeline of cutting-edge cell therapy modalities.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Learn more at https://legendbiotech.com and follow us on X, Instagram, and LinkedIn.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i w:val="1"/>
          <w:iCs w:val="1"/>
          <w:color w:val="auto"/>
        </w:rPr>
        <w:t>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the potential benefits of the proprietary TaVec platform, the Phase 1 clinical trial of LB2501 and the potential benefits of LB2501, including its potential to be first-in-class.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Legend Biotech’s third-party partners; uncertainties arising from challenges to Legend Biotech’s patent or other proprietary intellectual property protection, including the uncertainties involved in the U.S. litigation process; government, industry, and general product pricing and other political pressures; as well as the other factors discussed in the “Risk Factors” section of Legend Biotech’s Annual Report on Form 20-F filed with the Securities and Exchange Commission on March 10, 2026.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of this press release. Legend Biotech specifically disclaims any obligation to update any forward-looking statement,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Jessie Yeung</w:t>
      </w:r>
    </w:p>
    <w:p>
      <w:pPr>
        <w:spacing w:after="0" w:line="230" w:lineRule="auto"/>
        <w:rPr>
          <w:sz w:val="20"/>
          <w:szCs w:val="20"/>
          <w:color w:val="auto"/>
        </w:rPr>
      </w:pPr>
      <w:r>
        <w:rPr>
          <w:rFonts w:ascii="Times New Roman" w:cs="Times New Roman" w:eastAsia="Times New Roman" w:hAnsi="Times New Roman"/>
          <w:sz w:val="22"/>
          <w:szCs w:val="22"/>
          <w:color w:val="auto"/>
        </w:rPr>
        <w:t>Tel: (732) 956-8271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investor@legendbiotech.com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 Fox</w:t>
      </w:r>
    </w:p>
    <w:p>
      <w:pPr>
        <w:spacing w:after="0" w:line="230" w:lineRule="auto"/>
        <w:rPr>
          <w:sz w:val="20"/>
          <w:szCs w:val="20"/>
          <w:color w:val="auto"/>
        </w:rPr>
      </w:pPr>
      <w:r>
        <w:rPr>
          <w:rFonts w:ascii="Times New Roman" w:cs="Times New Roman" w:eastAsia="Times New Roman" w:hAnsi="Times New Roman"/>
          <w:sz w:val="22"/>
          <w:szCs w:val="22"/>
          <w:color w:val="auto"/>
        </w:rPr>
        <w:t>Tel: (848) 388-8445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media@legendbiotech.com</w:t>
      </w:r>
    </w:p>
    <w:p>
      <w:pPr>
        <w:spacing w:after="0" w:line="236" w:lineRule="exact"/>
        <w:rPr>
          <w:sz w:val="20"/>
          <w:szCs w:val="20"/>
          <w:color w:val="auto"/>
        </w:rPr>
      </w:pPr>
    </w:p>
    <w:p>
      <w:pPr>
        <w:ind w:right="20" w:firstLine="8"/>
        <w:spacing w:after="0" w:line="185" w:lineRule="auto"/>
        <w:tabs>
          <w:tab w:leader="none" w:pos="104"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ClinicalTrials.Gov. The CD19/​CD20 Dual-Target in Vivo CAR-T Lentiviral Product in the Treatment of Relapsed/​Refractory B-cell Malignancies. https://clinicaltrials.gov/study/NCT07002112. Accessed May 2026</w:t>
      </w:r>
    </w:p>
    <w:p>
      <w:pPr>
        <w:spacing w:after="0" w:line="26" w:lineRule="exact"/>
        <w:rPr>
          <w:sz w:val="20"/>
          <w:szCs w:val="20"/>
          <w:color w:val="auto"/>
        </w:rPr>
      </w:pPr>
    </w:p>
    <w:p>
      <w:pPr>
        <w:ind w:right="660" w:firstLine="8"/>
        <w:spacing w:after="0" w:line="195" w:lineRule="auto"/>
        <w:tabs>
          <w:tab w:leader="none" w:pos="154" w:val="left"/>
        </w:tabs>
        <w:numPr>
          <w:ilvl w:val="0"/>
          <w:numId w:val="2"/>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American Cancer Society. “What Is Non-Hodgkin Lymphoma?”. Available at: https://www.cancer.org/cancer/types/non-hodgkin-lymphoma/about/what-is-non-hodgkin-lymphoma.html.Accessed May 2026.</w:t>
      </w:r>
    </w:p>
    <w:p>
      <w:pPr>
        <w:spacing w:after="0" w:line="16" w:lineRule="exact"/>
        <w:rPr>
          <w:rFonts w:ascii="Times New Roman" w:cs="Times New Roman" w:eastAsia="Times New Roman" w:hAnsi="Times New Roman"/>
          <w:sz w:val="35"/>
          <w:szCs w:val="35"/>
          <w:color w:val="auto"/>
          <w:vertAlign w:val="superscript"/>
        </w:rPr>
      </w:pPr>
    </w:p>
    <w:p>
      <w:pPr>
        <w:ind w:right="520" w:firstLine="8"/>
        <w:spacing w:after="0" w:line="195" w:lineRule="auto"/>
        <w:tabs>
          <w:tab w:leader="none" w:pos="204" w:val="left"/>
        </w:tabs>
        <w:numPr>
          <w:ilvl w:val="0"/>
          <w:numId w:val="2"/>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American Cancer Society. “Types of B-cell Lymphoma.” Available at: https://www.cancer.org/cancer/types/non-hodgkin-lymphoma/about/b-cell-lymphoma.html.Accessed May 2026.</w:t>
      </w:r>
    </w:p>
    <w:p>
      <w:pPr>
        <w:sectPr>
          <w:pgSz w:w="11900" w:h="16838" w:orient="portrait"/>
          <w:cols w:equalWidth="0" w:num="1">
            <w:col w:w="11240"/>
          </w:cols>
          <w:pgMar w:left="320" w:top="567" w:right="339" w:bottom="41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Topic: 26. Gene therapy, cellular immunotherapy and vaccination - Clinical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EHA-7249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First-in-human trial of LB2501, an in vivo CD19/CD20 dual targeting CAR-T therapy, in relapsed/refractory B-Cell NHL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None selected</w:t>
      </w:r>
    </w:p>
    <w:p>
      <w:pPr>
        <w:spacing w:after="0" w:line="229" w:lineRule="exact"/>
        <w:rPr>
          <w:sz w:val="20"/>
          <w:szCs w:val="20"/>
          <w:color w:val="auto"/>
        </w:rPr>
      </w:pPr>
    </w:p>
    <w:p>
      <w:pPr>
        <w:jc w:val="both"/>
        <w:ind w:right="180" w:hanging="4"/>
        <w:spacing w:after="0" w:line="217" w:lineRule="auto"/>
        <w:rPr>
          <w:sz w:val="20"/>
          <w:szCs w:val="20"/>
          <w:color w:val="auto"/>
        </w:rPr>
      </w:pPr>
      <w:r>
        <w:rPr>
          <w:rFonts w:ascii="Times New Roman" w:cs="Times New Roman" w:eastAsia="Times New Roman" w:hAnsi="Times New Roman"/>
          <w:sz w:val="18"/>
          <w:szCs w:val="18"/>
          <w:b w:val="1"/>
          <w:bCs w:val="1"/>
          <w:color w:val="auto"/>
        </w:rPr>
        <w:t>Xiaoyan Qu</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Yajing Zhang</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Haisheng Liu</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Heng Mei</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Kaiyang Ding</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Jujuan Wang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Sanmei Wang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Haorui Shen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Zhengxu Sun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Shuangshuang Xing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Guoai Su</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Zheng Li</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Lin Liu</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Ran Li</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Hailing Liu</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Ling Zhou</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Yinrui Jiang</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Yongxin Luo</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Baoming Ni</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Dong Geng</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Guowei Fang</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Yanjie Xu</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Cong Feng</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Wenjie Wang</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Da Xu</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Zhongyuan Tu</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Hongchen Zheng</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Bing Gao</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Jin Liu</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Lei Fan</w:t>
      </w:r>
      <w:r>
        <w:rPr>
          <w:rFonts w:ascii="Times New Roman" w:cs="Times New Roman" w:eastAsia="Times New Roman" w:hAnsi="Times New Roman"/>
          <w:sz w:val="29"/>
          <w:szCs w:val="29"/>
          <w:color w:val="auto"/>
          <w:vertAlign w:val="superscript"/>
        </w:rPr>
        <w:t>1</w:t>
      </w:r>
    </w:p>
    <w:p>
      <w:pPr>
        <w:spacing w:after="0" w:line="81" w:lineRule="exact"/>
        <w:rPr>
          <w:sz w:val="20"/>
          <w:szCs w:val="20"/>
          <w:color w:val="auto"/>
        </w:rPr>
      </w:pPr>
    </w:p>
    <w:p>
      <w:pPr>
        <w:ind w:right="80" w:firstLine="8"/>
        <w:spacing w:after="0" w:line="221" w:lineRule="auto"/>
        <w:tabs>
          <w:tab w:leader="none" w:pos="12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 xml:space="preserve">The First Affiliated Hospital of Nanjing Medical University, Department of Hematology, Nanjing, China,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Beijing GoBroad Boren Hospital, Gobroad Medical Institute of Hematology, Department of Myeloma and Lymphoma, Beijing, China, </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The Fourth Hospital of Hebei Medical University, Shijiazhuang, China, </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Union Hospital, Tongji Medical College, Huazhong University of Science and Technology, Institute of Hematology, Wuhan, China,</w:t>
      </w:r>
    </w:p>
    <w:p>
      <w:pPr>
        <w:spacing w:after="0" w:line="2" w:lineRule="exact"/>
        <w:rPr>
          <w:sz w:val="20"/>
          <w:szCs w:val="20"/>
          <w:color w:val="auto"/>
        </w:rPr>
      </w:pPr>
    </w:p>
    <w:p>
      <w:pPr>
        <w:ind w:right="400" w:firstLine="8"/>
        <w:spacing w:after="0" w:line="213" w:lineRule="auto"/>
        <w:tabs>
          <w:tab w:leader="none" w:pos="12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 xml:space="preserve">The First Affiliated Hospital of USTC Anhui Provincial Hospital, Department of Hematology, Hefei, China, </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Legend Biotech Co, Nanjing, China, </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Legend Biotech USA Inc, Somerset, NJ, United States of America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Ex vivo CAR-T therapies have advanced treatment for relapsed/refractory non-Hodgkin lymphoma (R/R NHL) but are limited by complex manufacturing and lymphodepletion. In vivo CAR-T offers an off-the-shelf alternative that generates CAR-T cells directly in patients without requiring lymphodepletion. While feasibility has been shown in multiple myeloma, clinical data for B-cell malignancies remain unreported. LB2501, a third-generation, replication-incompetent lentiviral vector (LVV) pseudotyped with a modified fusion glycoprotein and a CD3 binder for T-cell-specific transduction, encodes a CD19/CD20 dual targeting CAR to generate CAR-T in vivo.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evaluate the safety, pharmacokinetics, and preliminary efficacy of LB2501 in R/R B-NHL.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Methods</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This ongoing phase 1 trial (NCT07002112) enrolled patients with measurable R/R NHL who had primary refractory disease or progression after ≥2 prior lines of therapy. A 3+3 dose-escalation design with backfilling was used across dose levels (DLs). LB2501 was administered as a single intravenous infusion without lymphodepletion.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As of April 1, 2026, 12 patients had been dosed with LB2501 at DL1 (n=6) or DL2 (n=6). The median age was 58.5 years, median prior therapy lines was 3, and 58.3% were refractory to last line. Patients included 7 (58.3%) LBCL, 3 (25%) FL and 2 (16.7%) MCL. No DLT, SAE or fatal cases were reported. Infusion-related reactions occurred in 9 patients (75.0%); all were grade 1 or 2, resolved within a median of 2.0 days, and required no tocilizumab or glucocorticoids. Cytokine release syndrome (CRS) occurred in 66.7% patients (grade 1 in 58.3%, grade 2 in 8.3%); No neurotoxicity (ICANS) was observed. Grade≥3 LVV-related and CAR-T-related adverse events were limited to decreased lymphocyte count (33.3% each) and decreased neutrophil count (25.0% and 50.0%, respectively). The objective response rate (ORR) was 50% (6/12), with a complete response rate (CR) of 41.7% (5/12). At DL2, the ORR was 100% (6/6) and the CR was 83.3% (5/6). All responses were ongoing at cut-off date (Figure 1). The median follow-up for DL2 was 2.2 months (range, 2.0 to 3.8). PK analysis via qPCR confirmed dose-dependent in vivo CAR-T cell expansion in 83% (5/6) of patients at DL1 and 100% (6/6) at DL2. At DL2, the median Cmax was 109,117.5 copies/μg DNA (vs. 1,068.0 at DL1), with a median Tmax of 15.0 days. At the time of data cutoff, patients exhibited persistent PK, with CAR-T cells detectable in peripheral blood for up to 116 days. Insertion site analyses indicate in vivo transduction is highly T cell specific, polyclonal, and diverse with mostly single copy insertion per T cell. The median VCN for in vivo CAR-T was 1.05, lower than ex vivo manufactured 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4168140</wp:posOffset>
            </wp:positionH>
            <wp:positionV relativeFrom="paragraph">
              <wp:posOffset>-217170</wp:posOffset>
            </wp:positionV>
            <wp:extent cx="28079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079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12509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Summary/Conclusion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study represents the initial clinical cohort of in vivo CAR-T therapy in relapsed/refractory non-Hodgkin lymphoma. LB2501, a first-in-class CD19/CD20 dual-targeting in vivo vector, introduces a novel paradigm by eliminating the need for ex vivo manufacturing and lymphodepletion. LB2501 has demonstrated a favorable safety profile and encouraging efficacy with a 100% ORR and 83.3% CR at DL2. While a longer-follow up is warranted, these data highlight the potential of LB2501 as a scalable, readily accessible “off-the-shelf” immunotherapy for B-cell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3951605" cy="2237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5160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 1: Patient Responses to DL2</w:t>
      </w:r>
    </w:p>
    <w:sectPr>
      <w:pgSz w:w="11900" w:h="16838" w:orient="portrait"/>
      <w:cols w:equalWidth="0" w:num="1">
        <w:col w:w="11060"/>
      </w:cols>
      <w:pgMar w:left="320" w:top="57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i"/>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2026-06-02T08:31:49Z</dcterms:created>
  <dcterms:modified xsi:type="dcterms:W3CDTF">2026-06-02T08:31:49Z</dcterms:modified>
</cp:coreProperties>
</file>