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0" w:after="20"/>
        <w:jc w:val="left"/>
        <w:rPr>
          <w:bdr w:val="single" w:sz="24" w:space="1" w:color="000000"/>
        </w:rPr>
      </w:pPr>
      <w:bookmarkStart w:id="0" w:name="f6k_092326.htm"/>
      <w:bookmarkStart w:id="1" w:name="ksf6k_092326"/>
      <w:bookmarkEnd w:id="0"/>
      <w:bookmarkEnd w:id="1"/>
      <w:r>
        <w:rPr>
          <w:bdr w:val="single" w:sz="24"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UNITED STATES</w:t>
      </w:r>
    </w:p>
    <w:p>
      <w:pPr>
        <w:pStyle w:val="TextBody"/>
        <w:bidi w:val="0"/>
        <w:spacing w:before="0" w:after="0"/>
        <w:ind w:left="0" w:right="0" w:hanging="0"/>
        <w:jc w:val="center"/>
        <w:rPr>
          <w:b/>
          <w:sz w:val="36"/>
        </w:rPr>
      </w:pPr>
      <w:r>
        <w:rPr>
          <w:b/>
          <w:sz w:val="36"/>
        </w:rP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center"/>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FORM 6-K</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Report of Foreign Private Issuer </w:t>
      </w:r>
    </w:p>
    <w:p>
      <w:pPr>
        <w:pStyle w:val="TextBody"/>
        <w:bidi w:val="0"/>
        <w:spacing w:before="0" w:after="0"/>
        <w:ind w:left="0" w:right="0" w:hanging="0"/>
        <w:jc w:val="center"/>
        <w:rPr>
          <w:b/>
          <w:sz w:val="20"/>
        </w:rPr>
      </w:pPr>
      <w:r>
        <w:rPr>
          <w:b/>
          <w:sz w:val="20"/>
        </w:rPr>
        <w:t>Pursuant to Rule 13a-16 or 15d-16 of</w:t>
      </w:r>
    </w:p>
    <w:p>
      <w:pPr>
        <w:pStyle w:val="TextBody"/>
        <w:bidi w:val="0"/>
        <w:spacing w:before="0" w:after="0"/>
        <w:ind w:left="0" w:right="0" w:hanging="0"/>
        <w:jc w:val="center"/>
        <w:rPr>
          <w:b/>
          <w:sz w:val="20"/>
        </w:rPr>
      </w:pPr>
      <w:r>
        <w:rPr>
          <w:b/>
          <w:sz w:val="20"/>
        </w:rPr>
        <w:t>the Securities Exchange Act of 1934</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Date of Report: September 24, 2026</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Commission File Number: 001-39307</w:t>
      </w:r>
    </w:p>
    <w:p>
      <w:pPr>
        <w:pStyle w:val="TextBody"/>
        <w:bidi w:val="0"/>
        <w:spacing w:before="0" w:after="0"/>
        <w:ind w:left="0" w:right="0" w:hanging="0"/>
        <w:jc w:val="center"/>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48"/>
        </w:rPr>
      </w:pPr>
      <w:r>
        <w:rPr>
          <w:b/>
          <w:sz w:val="48"/>
        </w:rPr>
        <w:t xml:space="preserve">Legend Biotech Corporation </w:t>
      </w:r>
    </w:p>
    <w:p>
      <w:pPr>
        <w:pStyle w:val="TextBody"/>
        <w:bidi w:val="0"/>
        <w:spacing w:before="0" w:after="0"/>
        <w:ind w:left="0" w:right="0" w:hanging="0"/>
        <w:jc w:val="center"/>
        <w:rPr>
          <w:b/>
          <w:sz w:val="20"/>
        </w:rPr>
      </w:pPr>
      <w:r>
        <w:rPr>
          <w:b/>
          <w:sz w:val="20"/>
        </w:rPr>
        <w:t xml:space="preserve">(Exact Name of Registrant as Specified in its Charter) </w:t>
      </w:r>
    </w:p>
    <w:p>
      <w:pPr>
        <w:pStyle w:val="TextBody"/>
        <w:bidi w:val="0"/>
        <w:spacing w:before="0" w:after="0"/>
        <w:ind w:left="0" w:right="0" w:hanging="0"/>
        <w:jc w:val="left"/>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77 Corporate Drive</w:t>
      </w:r>
    </w:p>
    <w:p>
      <w:pPr>
        <w:pStyle w:val="TextBody"/>
        <w:bidi w:val="0"/>
        <w:spacing w:before="0" w:after="0"/>
        <w:ind w:left="0" w:right="0" w:hanging="0"/>
        <w:jc w:val="center"/>
        <w:rPr>
          <w:b/>
          <w:sz w:val="20"/>
        </w:rPr>
      </w:pPr>
      <w:r>
        <w:rPr>
          <w:b/>
          <w:sz w:val="20"/>
        </w:rPr>
        <w:t xml:space="preserve">Bridgewater, New Jersey 08807 </w:t>
      </w:r>
    </w:p>
    <w:p>
      <w:pPr>
        <w:pStyle w:val="TextBody"/>
        <w:bidi w:val="0"/>
        <w:spacing w:before="0" w:after="0"/>
        <w:ind w:left="0" w:right="0" w:hanging="0"/>
        <w:jc w:val="center"/>
        <w:rPr>
          <w:b/>
          <w:sz w:val="20"/>
        </w:rPr>
      </w:pPr>
      <w:r>
        <w:rPr>
          <w:b/>
          <w:sz w:val="20"/>
        </w:rPr>
        <w:t>(Address of principal executive office)</w:t>
      </w:r>
    </w:p>
    <w:p>
      <w:pPr>
        <w:pStyle w:val="TextBody"/>
        <w:bidi w:val="0"/>
        <w:spacing w:before="0" w:after="0"/>
        <w:ind w:left="0" w:right="0" w:hanging="0"/>
        <w:jc w:val="center"/>
        <w:rPr/>
      </w:pPr>
      <w:r>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Indicate by check mark whether the registrant files or will file annual reports under cover of Form 20-F or Form 40-F:</w:t>
      </w:r>
    </w:p>
    <w:p>
      <w:pPr>
        <w:pStyle w:val="TextBody"/>
        <w:bidi w:val="0"/>
        <w:spacing w:before="0" w:after="0"/>
        <w:ind w:left="0" w:right="0" w:hanging="0"/>
        <w:jc w:val="left"/>
        <w:rPr/>
      </w:pPr>
      <w:r>
        <w:rPr/>
        <w:t> </w:t>
      </w:r>
    </w:p>
    <w:p>
      <w:pPr>
        <w:pStyle w:val="TextBody"/>
        <w:bidi w:val="0"/>
        <w:spacing w:before="0" w:after="0"/>
        <w:ind w:left="0" w:right="0" w:hanging="0"/>
        <w:jc w:val="center"/>
        <w:rPr>
          <w:sz w:val="20"/>
        </w:rPr>
      </w:pPr>
      <w:r>
        <w:rPr>
          <w:sz w:val="20"/>
        </w:rPr>
        <w:t>Form 20-F ☒ Form 40-F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On September 24, 2026, Legend Biotech Corporation (the “Company”) held its 2026 Annual General Meeting of Shareholders (the “Meeting”). The voting results are attached hereto as Exhibit 99.1.</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report on Form 6-K, including Exhibit 99.1, shall be deemed to be incorporated by reference in the registration statements of the Company on Form F-3 (Nos. 333-257625 and 333-278050) and Form S-8 (Nos. 333-239478 and 333-283217), to the extent not superseded by documents or reports subsequently filed.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r>
        <w:rPr>
          <w:b/>
          <w:sz w:val="20"/>
        </w:rPr>
        <w:t>EXHIBITS</w:t>
      </w:r>
    </w:p>
    <w:p>
      <w:pPr>
        <w:pStyle w:val="TextBody"/>
        <w:bidi w:val="0"/>
        <w:spacing w:before="0" w:after="0"/>
        <w:ind w:left="0" w:right="0" w:hanging="0"/>
        <w:jc w:val="left"/>
        <w:rPr/>
      </w:pPr>
      <w:r>
        <w:rPr/>
        <w:t>  </w:t>
      </w:r>
    </w:p>
    <w:p>
      <w:pPr>
        <w:pStyle w:val="TextBody"/>
        <w:bidi w:val="0"/>
        <w:spacing w:before="0" w:after="0"/>
        <w:ind w:left="0" w:right="0" w:hanging="0"/>
        <w:jc w:val="left"/>
        <w:rPr/>
      </w:pPr>
      <w:hyperlink w:anchor="exh_991.htm">
        <w:r>
          <w:rPr>
            <w:rStyle w:val="InternetLink"/>
            <w:sz w:val="20"/>
          </w:rPr>
          <w:t>Exhibit 99.1 — Voting Results of Annual General Meeting</w:t>
        </w:r>
      </w:hyperlink>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SIGNATURES</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5454" w:type="dxa"/>
        <w:jc w:val="left"/>
        <w:tblInd w:w="0" w:type="dxa"/>
        <w:tblLayout w:type="fixed"/>
        <w:tblCellMar>
          <w:top w:w="0" w:type="dxa"/>
          <w:left w:w="0" w:type="dxa"/>
          <w:bottom w:w="0" w:type="dxa"/>
          <w:right w:w="0" w:type="dxa"/>
        </w:tblCellMar>
      </w:tblPr>
      <w:tblGrid>
        <w:gridCol w:w="2135"/>
        <w:gridCol w:w="723"/>
        <w:gridCol w:w="2596"/>
      </w:tblGrid>
      <w:tr>
        <w:trPr/>
        <w:tc>
          <w:tcPr>
            <w:tcW w:w="2135" w:type="dxa"/>
            <w:tcBorders/>
            <w:vAlign w:val="center"/>
          </w:tcPr>
          <w:p>
            <w:pPr>
              <w:pStyle w:val="TableContents"/>
              <w:bidi w:val="0"/>
              <w:spacing w:before="0" w:after="283"/>
              <w:jc w:val="left"/>
              <w:rPr/>
            </w:pPr>
            <w:r>
              <w:rPr/>
              <w:t> </w:t>
            </w:r>
          </w:p>
        </w:tc>
        <w:tc>
          <w:tcPr>
            <w:tcW w:w="3319" w:type="dxa"/>
            <w:gridSpan w:val="2"/>
            <w:tcBorders/>
            <w:vAlign w:val="center"/>
          </w:tcPr>
          <w:p>
            <w:pPr>
              <w:pStyle w:val="TableContents"/>
              <w:bidi w:val="0"/>
              <w:spacing w:before="0" w:after="283"/>
              <w:jc w:val="left"/>
              <w:rPr>
                <w:b/>
                <w:sz w:val="20"/>
              </w:rPr>
            </w:pPr>
            <w:r>
              <w:rPr>
                <w:b/>
                <w:sz w:val="20"/>
              </w:rPr>
              <w:t>LEGEND BIOTECH CORPORATION</w:t>
            </w:r>
          </w:p>
        </w:tc>
      </w:tr>
      <w:tr>
        <w:trPr/>
        <w:tc>
          <w:tcPr>
            <w:tcW w:w="213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2596"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 September 24, 2026</w:t>
            </w:r>
          </w:p>
        </w:tc>
        <w:tc>
          <w:tcPr>
            <w:tcW w:w="723" w:type="dxa"/>
            <w:tcBorders/>
            <w:vAlign w:val="center"/>
          </w:tcPr>
          <w:p>
            <w:pPr>
              <w:pStyle w:val="TableContents"/>
              <w:bidi w:val="0"/>
              <w:spacing w:before="0" w:after="283"/>
              <w:jc w:val="left"/>
              <w:rPr>
                <w:sz w:val="20"/>
              </w:rPr>
            </w:pPr>
            <w:r>
              <w:rPr>
                <w:sz w:val="20"/>
              </w:rPr>
              <w:t>By:</w:t>
            </w:r>
          </w:p>
        </w:tc>
        <w:tc>
          <w:tcPr>
            <w:tcW w:w="259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Ingrid Zhang</w:t>
            </w:r>
          </w:p>
        </w:tc>
      </w:tr>
      <w:tr>
        <w:trPr/>
        <w:tc>
          <w:tcPr>
            <w:tcW w:w="213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sz w:val="20"/>
              </w:rPr>
            </w:pPr>
            <w:r>
              <w:rPr>
                <w:sz w:val="20"/>
              </w:rPr>
              <w:t>Name:</w:t>
            </w:r>
          </w:p>
        </w:tc>
        <w:tc>
          <w:tcPr>
            <w:tcW w:w="2596" w:type="dxa"/>
            <w:tcBorders/>
            <w:vAlign w:val="center"/>
          </w:tcPr>
          <w:p>
            <w:pPr>
              <w:pStyle w:val="TableContents"/>
              <w:bidi w:val="0"/>
              <w:spacing w:before="0" w:after="283"/>
              <w:jc w:val="left"/>
              <w:rPr>
                <w:sz w:val="20"/>
              </w:rPr>
            </w:pPr>
            <w:r>
              <w:rPr>
                <w:sz w:val="20"/>
              </w:rPr>
              <w:t>Ingrid Zhang</w:t>
            </w:r>
          </w:p>
        </w:tc>
      </w:tr>
      <w:tr>
        <w:trPr/>
        <w:tc>
          <w:tcPr>
            <w:tcW w:w="213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sz w:val="20"/>
              </w:rPr>
            </w:pPr>
            <w:r>
              <w:rPr>
                <w:sz w:val="20"/>
              </w:rPr>
              <w:t>Title:</w:t>
            </w:r>
          </w:p>
        </w:tc>
        <w:tc>
          <w:tcPr>
            <w:tcW w:w="2596"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right"/>
        <w:rPr>
          <w:b/>
          <w:sz w:val="20"/>
        </w:rPr>
      </w:pPr>
      <w:bookmarkStart w:id="2" w:name="exh_991.htm"/>
      <w:bookmarkStart w:id="3" w:name="ksexh_991"/>
      <w:bookmarkEnd w:id="2"/>
      <w:bookmarkEnd w:id="3"/>
      <w:r>
        <w:rPr>
          <w:b/>
          <w:sz w:val="20"/>
        </w:rPr>
        <w:t>Exhibit 99.1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b/>
          <w:sz w:val="20"/>
        </w:rPr>
      </w:pPr>
      <w:r>
        <w:rPr>
          <w:b/>
          <w:sz w:val="20"/>
        </w:rPr>
        <w:t>Voting Results of 2026 Annual General Meeting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At Legend Biotech Corporation’s (the “Company”) annual general meeting of shareholders held on September 24, 2026 (the “AGM”), the Company’s shareholders:</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received the audited consolidated financial statements of the Company for the fiscal year ended December 31, 2025;</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ratified the appointment of Ernst &amp; Young LLP as the Company’s independent auditor for the fiscal year ending December 31, 2026;</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re-elected each of Mr. Robin Meng, Dr. Corazon D. Sanders, Dr. Li Mao and Dr. Peter Salovey to serve as a Class III director for a three-year term;</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approved the amendment and restatement of the Company’s 2020 Restricted Shares Plan to increase the aggregate number of ordinary shares reserved for issuance by 19,100,000 ordinary shares; and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authorized each of the directors and officers of the Company to take any and every action that might be necessary to effect the forgoing resolutions as such director or officer, in his or her absolute discretion, thinks fit.</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total of approximately 330,199,682 ordinary shares, including those underlying ADSs, representing approximately 84.9% of the 388,976,826 ordinary shares issued and outstanding as of August 17, 2026, the record date, were present in person or by proxy at the AGM. The results of the votes are as follows: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115"/>
        <w:gridCol w:w="60"/>
        <w:gridCol w:w="60"/>
        <w:gridCol w:w="1055"/>
        <w:gridCol w:w="60"/>
        <w:gridCol w:w="60"/>
        <w:gridCol w:w="60"/>
        <w:gridCol w:w="590"/>
        <w:gridCol w:w="185"/>
        <w:gridCol w:w="60"/>
        <w:gridCol w:w="60"/>
        <w:gridCol w:w="950"/>
        <w:gridCol w:w="60"/>
        <w:gridCol w:w="60"/>
        <w:gridCol w:w="60"/>
        <w:gridCol w:w="590"/>
        <w:gridCol w:w="185"/>
        <w:gridCol w:w="60"/>
        <w:gridCol w:w="60"/>
        <w:gridCol w:w="950"/>
        <w:gridCol w:w="60"/>
        <w:gridCol w:w="60"/>
        <w:gridCol w:w="60"/>
        <w:gridCol w:w="485"/>
        <w:gridCol w:w="200"/>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0"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For</w:t>
            </w:r>
          </w:p>
        </w:tc>
        <w:tc>
          <w:tcPr>
            <w:tcW w:w="60" w:type="dxa"/>
            <w:tcBorders/>
            <w:vAlign w:val="center"/>
          </w:tcPr>
          <w:p>
            <w:pPr>
              <w:pStyle w:val="TableContents"/>
              <w:bidi w:val="0"/>
              <w:spacing w:before="0" w:after="283"/>
              <w:jc w:val="left"/>
              <w:rPr/>
            </w:pPr>
            <w:r>
              <w:rPr/>
              <w:t> </w:t>
            </w:r>
          </w:p>
        </w:tc>
        <w:tc>
          <w:tcPr>
            <w:tcW w:w="1965"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Against</w:t>
            </w:r>
          </w:p>
        </w:tc>
        <w:tc>
          <w:tcPr>
            <w:tcW w:w="60" w:type="dxa"/>
            <w:tcBorders/>
            <w:vAlign w:val="center"/>
          </w:tcPr>
          <w:p>
            <w:pPr>
              <w:pStyle w:val="TableContents"/>
              <w:bidi w:val="0"/>
              <w:spacing w:before="0" w:after="283"/>
              <w:jc w:val="left"/>
              <w:rPr/>
            </w:pPr>
            <w:r>
              <w:rPr/>
              <w:t> </w:t>
            </w:r>
          </w:p>
        </w:tc>
        <w:tc>
          <w:tcPr>
            <w:tcW w:w="1875"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Abstain</w:t>
            </w:r>
          </w:p>
        </w:tc>
      </w:tr>
      <w:tr>
        <w:trPr/>
        <w:tc>
          <w:tcPr>
            <w:tcW w:w="411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Resolutions</w:t>
            </w:r>
          </w:p>
        </w:tc>
        <w:tc>
          <w:tcPr>
            <w:tcW w:w="60" w:type="dxa"/>
            <w:tcBorders/>
            <w:vAlign w:val="center"/>
          </w:tcPr>
          <w:p>
            <w:pPr>
              <w:pStyle w:val="TableContents"/>
              <w:bidi w:val="0"/>
              <w:spacing w:before="0" w:after="283"/>
              <w:jc w:val="left"/>
              <w:rPr/>
            </w:pPr>
            <w:r>
              <w:rPr/>
              <w:t> </w:t>
            </w:r>
          </w:p>
        </w:tc>
        <w:tc>
          <w:tcPr>
            <w:tcW w:w="11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Votes</w:t>
            </w:r>
          </w:p>
        </w:tc>
        <w:tc>
          <w:tcPr>
            <w:tcW w:w="60" w:type="dxa"/>
            <w:tcBorders/>
            <w:vAlign w:val="center"/>
          </w:tcPr>
          <w:p>
            <w:pPr>
              <w:pStyle w:val="TableContents"/>
              <w:bidi w:val="0"/>
              <w:spacing w:before="0" w:after="283"/>
              <w:jc w:val="left"/>
              <w:rPr/>
            </w:pPr>
            <w:r>
              <w:rPr/>
              <w:t> </w:t>
            </w:r>
          </w:p>
        </w:tc>
        <w:tc>
          <w:tcPr>
            <w:tcW w:w="83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60" w:type="dxa"/>
            <w:tcBorders/>
            <w:vAlign w:val="center"/>
          </w:tcPr>
          <w:p>
            <w:pPr>
              <w:pStyle w:val="TableContents"/>
              <w:bidi w:val="0"/>
              <w:spacing w:before="0" w:after="283"/>
              <w:jc w:val="left"/>
              <w:rPr/>
            </w:pPr>
            <w:r>
              <w:rPr/>
              <w:t> </w:t>
            </w:r>
          </w:p>
        </w:tc>
        <w:tc>
          <w:tcPr>
            <w:tcW w:w="107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Votes</w:t>
            </w:r>
          </w:p>
        </w:tc>
        <w:tc>
          <w:tcPr>
            <w:tcW w:w="60" w:type="dxa"/>
            <w:tcBorders/>
            <w:vAlign w:val="center"/>
          </w:tcPr>
          <w:p>
            <w:pPr>
              <w:pStyle w:val="TableContents"/>
              <w:bidi w:val="0"/>
              <w:spacing w:before="0" w:after="283"/>
              <w:jc w:val="left"/>
              <w:rPr/>
            </w:pPr>
            <w:r>
              <w:rPr/>
              <w:t> </w:t>
            </w:r>
          </w:p>
        </w:tc>
        <w:tc>
          <w:tcPr>
            <w:tcW w:w="83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60" w:type="dxa"/>
            <w:tcBorders/>
            <w:vAlign w:val="center"/>
          </w:tcPr>
          <w:p>
            <w:pPr>
              <w:pStyle w:val="TableContents"/>
              <w:bidi w:val="0"/>
              <w:spacing w:before="0" w:after="283"/>
              <w:jc w:val="left"/>
              <w:rPr/>
            </w:pPr>
            <w:r>
              <w:rPr/>
              <w:t> </w:t>
            </w:r>
          </w:p>
        </w:tc>
        <w:tc>
          <w:tcPr>
            <w:tcW w:w="107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Votes</w:t>
            </w:r>
          </w:p>
        </w:tc>
        <w:tc>
          <w:tcPr>
            <w:tcW w:w="60" w:type="dxa"/>
            <w:tcBorders/>
            <w:vAlign w:val="center"/>
          </w:tcPr>
          <w:p>
            <w:pPr>
              <w:pStyle w:val="TableContents"/>
              <w:bidi w:val="0"/>
              <w:spacing w:before="0" w:after="283"/>
              <w:jc w:val="left"/>
              <w:rPr/>
            </w:pPr>
            <w:r>
              <w:rPr/>
              <w:t> </w:t>
            </w:r>
          </w:p>
        </w:tc>
        <w:tc>
          <w:tcPr>
            <w:tcW w:w="745" w:type="dxa"/>
            <w:gridSpan w:val="3"/>
            <w:tcBorders>
              <w:bottom w:val="single" w:sz="8" w:space="0" w:color="000000"/>
            </w:tcBorders>
            <w:tcMar>
              <w:bottom w:w="28" w:type="dxa"/>
            </w:tcMar>
            <w:vAlign w:val="center"/>
          </w:tcPr>
          <w:p>
            <w:pPr>
              <w:pStyle w:val="TableContents"/>
              <w:bidi w:val="0"/>
              <w:spacing w:before="0" w:after="283"/>
              <w:ind w:left="0" w:right="0" w:hanging="202"/>
              <w:jc w:val="center"/>
              <w:rPr>
                <w:b/>
                <w:sz w:val="20"/>
              </w:rPr>
            </w:pPr>
            <w:r>
              <w:rPr>
                <w:b/>
                <w:sz w:val="20"/>
              </w:rPr>
              <w:t>%</w:t>
            </w:r>
          </w:p>
        </w:tc>
      </w:tr>
      <w:tr>
        <w:trPr/>
        <w:tc>
          <w:tcPr>
            <w:tcW w:w="4115" w:type="dxa"/>
            <w:tcBorders/>
            <w:shd w:fill="CCEEFF" w:val="clear"/>
            <w:vAlign w:val="center"/>
          </w:tcPr>
          <w:p>
            <w:pPr>
              <w:pStyle w:val="TableContents"/>
              <w:bidi w:val="0"/>
              <w:spacing w:before="0" w:after="283"/>
              <w:jc w:val="left"/>
              <w:rPr>
                <w:b/>
                <w:sz w:val="20"/>
              </w:rPr>
            </w:pPr>
            <w:r>
              <w:rPr>
                <w:b/>
                <w:sz w:val="20"/>
              </w:rPr>
              <w:t>Reception of Audited Financial Statements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329,998,122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84.837</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110,480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0.028</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91,080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0.023</w:t>
            </w:r>
          </w:p>
        </w:tc>
        <w:tc>
          <w:tcPr>
            <w:tcW w:w="200" w:type="dxa"/>
            <w:tcBorders/>
            <w:shd w:fill="CCEEFF" w:val="clear"/>
            <w:vAlign w:val="center"/>
          </w:tcPr>
          <w:p>
            <w:pPr>
              <w:pStyle w:val="TableContents"/>
              <w:bidi w:val="0"/>
              <w:spacing w:before="0" w:after="283"/>
              <w:ind w:left="0" w:right="0" w:hanging="202"/>
              <w:jc w:val="left"/>
              <w:rPr>
                <w:sz w:val="20"/>
              </w:rPr>
            </w:pPr>
            <w:r>
              <w:rPr>
                <w:sz w:val="20"/>
              </w:rPr>
              <w:t>%</w:t>
            </w:r>
          </w:p>
        </w:tc>
      </w:tr>
      <w:tr>
        <w:trPr/>
        <w:tc>
          <w:tcPr>
            <w:tcW w:w="4115" w:type="dxa"/>
            <w:tcBorders/>
            <w:shd w:fill="FFFFFF" w:val="clear"/>
            <w:vAlign w:val="center"/>
          </w:tcPr>
          <w:p>
            <w:pPr>
              <w:pStyle w:val="TableContents"/>
              <w:bidi w:val="0"/>
              <w:spacing w:before="0" w:after="283"/>
              <w:jc w:val="left"/>
              <w:rPr>
                <w:b/>
                <w:sz w:val="20"/>
              </w:rPr>
            </w:pPr>
            <w:r>
              <w:rPr>
                <w:b/>
                <w:sz w:val="20"/>
              </w:rPr>
              <w:t>Ratification of appointment of Ernst &amp; Young LLP as Independent Auditor for Fiscal Year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329,955,758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84.827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144,190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0.037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99,734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0.026</w:t>
            </w:r>
          </w:p>
        </w:tc>
        <w:tc>
          <w:tcPr>
            <w:tcW w:w="200" w:type="dxa"/>
            <w:tcBorders/>
            <w:shd w:fill="FFFFFF" w:val="clear"/>
            <w:vAlign w:val="center"/>
          </w:tcPr>
          <w:p>
            <w:pPr>
              <w:pStyle w:val="TableContents"/>
              <w:bidi w:val="0"/>
              <w:spacing w:before="0" w:after="283"/>
              <w:ind w:left="0" w:right="0" w:hanging="202"/>
              <w:jc w:val="left"/>
              <w:rPr>
                <w:sz w:val="20"/>
              </w:rPr>
            </w:pPr>
            <w:r>
              <w:rPr>
                <w:sz w:val="20"/>
              </w:rPr>
              <w:t>%</w:t>
            </w:r>
          </w:p>
        </w:tc>
      </w:tr>
      <w:tr>
        <w:trPr/>
        <w:tc>
          <w:tcPr>
            <w:tcW w:w="4115" w:type="dxa"/>
            <w:tcBorders/>
            <w:shd w:fill="CCEEFF" w:val="clear"/>
            <w:vAlign w:val="center"/>
          </w:tcPr>
          <w:p>
            <w:pPr>
              <w:pStyle w:val="TableContents"/>
              <w:bidi w:val="0"/>
              <w:spacing w:before="0" w:after="283"/>
              <w:jc w:val="left"/>
              <w:rPr>
                <w:b/>
                <w:sz w:val="20"/>
              </w:rPr>
            </w:pPr>
            <w:r>
              <w:rPr>
                <w:b/>
                <w:sz w:val="20"/>
              </w:rPr>
              <w:t>Election of Directors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ind w:left="0" w:right="0" w:hanging="200"/>
              <w:jc w:val="left"/>
              <w:rPr/>
            </w:pPr>
            <w:r>
              <w:rPr/>
              <w:t> </w:t>
            </w:r>
          </w:p>
        </w:tc>
      </w:tr>
      <w:tr>
        <w:trPr/>
        <w:tc>
          <w:tcPr>
            <w:tcW w:w="4115" w:type="dxa"/>
            <w:tcBorders/>
            <w:shd w:fill="FFFFFF" w:val="clear"/>
            <w:vAlign w:val="center"/>
          </w:tcPr>
          <w:p>
            <w:pPr>
              <w:pStyle w:val="TableContents"/>
              <w:bidi w:val="0"/>
              <w:spacing w:before="0" w:after="283"/>
              <w:jc w:val="left"/>
              <w:rPr>
                <w:sz w:val="20"/>
              </w:rPr>
            </w:pPr>
            <w:r>
              <w:rPr>
                <w:sz w:val="20"/>
              </w:rPr>
              <w:t>Mr. Robin Meng (Class III)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273,381,862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70.282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56,768,390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14.594</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49,430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0.013</w:t>
            </w:r>
          </w:p>
        </w:tc>
        <w:tc>
          <w:tcPr>
            <w:tcW w:w="200" w:type="dxa"/>
            <w:tcBorders/>
            <w:shd w:fill="FFFFFF" w:val="clear"/>
            <w:vAlign w:val="center"/>
          </w:tcPr>
          <w:p>
            <w:pPr>
              <w:pStyle w:val="TableContents"/>
              <w:bidi w:val="0"/>
              <w:spacing w:before="0" w:after="283"/>
              <w:ind w:left="0" w:right="0" w:hanging="200"/>
              <w:jc w:val="left"/>
              <w:rPr>
                <w:sz w:val="20"/>
              </w:rPr>
            </w:pPr>
            <w:r>
              <w:rPr>
                <w:sz w:val="20"/>
              </w:rPr>
              <w:t>%</w:t>
            </w:r>
          </w:p>
        </w:tc>
      </w:tr>
      <w:tr>
        <w:trPr/>
        <w:tc>
          <w:tcPr>
            <w:tcW w:w="4115" w:type="dxa"/>
            <w:tcBorders/>
            <w:shd w:fill="CCEEFF" w:val="clear"/>
            <w:vAlign w:val="center"/>
          </w:tcPr>
          <w:p>
            <w:pPr>
              <w:pStyle w:val="TableContents"/>
              <w:bidi w:val="0"/>
              <w:spacing w:before="0" w:after="283"/>
              <w:jc w:val="left"/>
              <w:rPr>
                <w:sz w:val="20"/>
              </w:rPr>
            </w:pPr>
            <w:r>
              <w:rPr>
                <w:sz w:val="20"/>
              </w:rPr>
              <w:t>Dr. Corazon D. Sanders (Class III)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326,472,036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83.931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3,681,710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0.947</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45,936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0.012</w:t>
            </w:r>
          </w:p>
        </w:tc>
        <w:tc>
          <w:tcPr>
            <w:tcW w:w="200" w:type="dxa"/>
            <w:tcBorders/>
            <w:shd w:fill="CCEEFF" w:val="clear"/>
            <w:vAlign w:val="center"/>
          </w:tcPr>
          <w:p>
            <w:pPr>
              <w:pStyle w:val="TableContents"/>
              <w:bidi w:val="0"/>
              <w:spacing w:before="0" w:after="283"/>
              <w:ind w:left="0" w:right="0" w:hanging="200"/>
              <w:jc w:val="left"/>
              <w:rPr>
                <w:sz w:val="20"/>
              </w:rPr>
            </w:pPr>
            <w:r>
              <w:rPr>
                <w:sz w:val="20"/>
              </w:rPr>
              <w:t>%</w:t>
            </w:r>
          </w:p>
        </w:tc>
      </w:tr>
      <w:tr>
        <w:trPr/>
        <w:tc>
          <w:tcPr>
            <w:tcW w:w="4115" w:type="dxa"/>
            <w:tcBorders/>
            <w:shd w:fill="FFFFFF" w:val="clear"/>
            <w:vAlign w:val="center"/>
          </w:tcPr>
          <w:p>
            <w:pPr>
              <w:pStyle w:val="TableContents"/>
              <w:bidi w:val="0"/>
              <w:spacing w:before="0" w:after="283"/>
              <w:jc w:val="left"/>
              <w:rPr>
                <w:sz w:val="20"/>
              </w:rPr>
            </w:pPr>
            <w:r>
              <w:rPr>
                <w:sz w:val="20"/>
              </w:rPr>
              <w:t>Dr. Li Mao (Class III)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328,120,942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84.355</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1,999,436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0.514</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79,304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0.020</w:t>
            </w:r>
          </w:p>
        </w:tc>
        <w:tc>
          <w:tcPr>
            <w:tcW w:w="200" w:type="dxa"/>
            <w:tcBorders/>
            <w:shd w:fill="FFFFFF" w:val="clear"/>
            <w:vAlign w:val="center"/>
          </w:tcPr>
          <w:p>
            <w:pPr>
              <w:pStyle w:val="TableContents"/>
              <w:bidi w:val="0"/>
              <w:spacing w:before="0" w:after="283"/>
              <w:ind w:left="0" w:right="0" w:hanging="202"/>
              <w:jc w:val="left"/>
              <w:rPr>
                <w:sz w:val="20"/>
              </w:rPr>
            </w:pPr>
            <w:r>
              <w:rPr>
                <w:sz w:val="20"/>
              </w:rPr>
              <w:t>%</w:t>
            </w:r>
          </w:p>
        </w:tc>
      </w:tr>
      <w:tr>
        <w:trPr/>
        <w:tc>
          <w:tcPr>
            <w:tcW w:w="4115" w:type="dxa"/>
            <w:tcBorders/>
            <w:shd w:fill="CCEEFF" w:val="clear"/>
            <w:vAlign w:val="center"/>
          </w:tcPr>
          <w:p>
            <w:pPr>
              <w:pStyle w:val="TableContents"/>
              <w:bidi w:val="0"/>
              <w:spacing w:before="0" w:after="283"/>
              <w:jc w:val="left"/>
              <w:rPr>
                <w:sz w:val="20"/>
              </w:rPr>
            </w:pPr>
            <w:r>
              <w:rPr>
                <w:sz w:val="20"/>
              </w:rPr>
              <w:t>Dr. Peter Salovey (Class III)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328,187,592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84.372</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1,967,750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0.506</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44,340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0.011</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115" w:type="dxa"/>
            <w:tcBorders/>
            <w:shd w:fill="FFFFFF" w:val="clear"/>
            <w:vAlign w:val="center"/>
          </w:tcPr>
          <w:p>
            <w:pPr>
              <w:pStyle w:val="TableContents"/>
              <w:bidi w:val="0"/>
              <w:spacing w:before="0" w:after="283"/>
              <w:jc w:val="left"/>
              <w:rPr>
                <w:b/>
                <w:sz w:val="20"/>
              </w:rPr>
            </w:pPr>
            <w:r>
              <w:rPr>
                <w:b/>
                <w:sz w:val="20"/>
              </w:rPr>
              <w:t>Amendment and Restatement of 2020 Restricted Shares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279,130,008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71.760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20,732,988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5.330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30,336,686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7.799</w:t>
            </w:r>
          </w:p>
        </w:tc>
        <w:tc>
          <w:tcPr>
            <w:tcW w:w="200" w:type="dxa"/>
            <w:tcBorders/>
            <w:shd w:fill="FFFFFF" w:val="clear"/>
            <w:vAlign w:val="center"/>
          </w:tcPr>
          <w:p>
            <w:pPr>
              <w:pStyle w:val="TableContents"/>
              <w:bidi w:val="0"/>
              <w:spacing w:before="0" w:after="283"/>
              <w:ind w:left="0" w:right="0" w:hanging="202"/>
              <w:jc w:val="left"/>
              <w:rPr>
                <w:sz w:val="20"/>
              </w:rPr>
            </w:pPr>
            <w:r>
              <w:rPr>
                <w:sz w:val="20"/>
              </w:rPr>
              <w:t>%</w:t>
            </w:r>
          </w:p>
        </w:tc>
      </w:tr>
      <w:tr>
        <w:trPr/>
        <w:tc>
          <w:tcPr>
            <w:tcW w:w="4115" w:type="dxa"/>
            <w:tcBorders/>
            <w:shd w:fill="CCEEFF" w:val="clear"/>
            <w:vAlign w:val="center"/>
          </w:tcPr>
          <w:p>
            <w:pPr>
              <w:pStyle w:val="TableContents"/>
              <w:bidi w:val="0"/>
              <w:spacing w:before="0" w:after="283"/>
              <w:jc w:val="left"/>
              <w:rPr>
                <w:b/>
                <w:sz w:val="20"/>
              </w:rPr>
            </w:pPr>
            <w:r>
              <w:rPr>
                <w:b/>
                <w:sz w:val="20"/>
              </w:rPr>
              <w:t>Authorization of Directors and Officers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328,624,268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84.484</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1,441,908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0.371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133,506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0.034</w:t>
            </w:r>
          </w:p>
        </w:tc>
        <w:tc>
          <w:tcPr>
            <w:tcW w:w="20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3077</Characters>
  <CharactersWithSpaces>3728</CharactersWithSpaces>
  <Paragraphs>337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