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Ye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60" w:type="dxa"/>
            <w:vAlign w:val="bottom"/>
            <w:tcBorders>
              <w:top w:val="single" w:sz="8" w:color="0000EE"/>
              <w:bottom w:val="single" w:sz="8" w:color="9A9A9A"/>
            </w:tcBorders>
          </w:tcPr>
          <w:p>
            <w:pPr>
              <w:spacing w:after="0"/>
              <w:rPr>
                <w:sz w:val="17"/>
                <w:szCs w:val="17"/>
                <w:color w:val="auto"/>
              </w:rPr>
            </w:pPr>
          </w:p>
        </w:tc>
        <w:tc>
          <w:tcPr>
            <w:tcW w:w="2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Legend Biotech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LEGN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LEGEND BIOTECH CORP</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2101 COTTONTAIL LANE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SOMERSET NJ</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08873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20"/>
                <w:szCs w:val="20"/>
                <w:color w:val="0000FF"/>
              </w:rPr>
              <w:t>16</w:t>
            </w:r>
          </w:p>
        </w:tc>
        <w:tc>
          <w:tcPr>
            <w:tcW w:w="1160" w:type="dxa"/>
            <w:vAlign w:val="bottom"/>
            <w:tcBorders>
              <w:bottom w:val="single" w:sz="8" w:color="2C2C2C"/>
            </w:tcBorders>
            <w:gridSpan w:val="2"/>
          </w:tcPr>
          <w:p>
            <w:pPr>
              <w:ind w:left="100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2"/>
            <w:vMerge w:val="restart"/>
          </w:tcPr>
          <w:p>
            <w:pPr>
              <w:ind w:left="4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60" w:type="dxa"/>
            <w:vAlign w:val="bottom"/>
            <w:gridSpan w:val="2"/>
          </w:tcPr>
          <w:p>
            <w:pPr>
              <w:ind w:left="4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Ordinary Shares of the Issuer may be represented by American Depositary Shares ("ADSs"). Each ADS represents two ordinary shares of the Issuer.</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James Pepin,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James Pepin and Robert Staloff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Legend Biotech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(1)       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18, 2026</w:t>
      </w:r>
    </w:p>
    <w:p>
      <w:pPr>
        <w:spacing w:after="0" w:line="2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tab/>
        <w:t>/s/ Ye Wang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Name:Ye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4160" TargetMode="External"/><Relationship Id="rId11" Type="http://schemas.openxmlformats.org/officeDocument/2006/relationships/hyperlink" Target="http://www.sec.gov/cgi-bin/browse-edgar?action=getcompany&amp;CIK=000180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2026-03-18T17:49:36Z</dcterms:created>
  <dcterms:modified xsi:type="dcterms:W3CDTF">2026-03-18T17:49:36Z</dcterms:modified>
</cp:coreProperties>
</file>