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Date of Report: June 17,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5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Somerset, New Jersey 08873</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Underwriting Agreement</w:t>
      </w:r>
    </w:p>
    <w:p>
      <w:pPr>
        <w:spacing w:after="0" w:line="121"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On June 17, 2026, Legend Biotech Corporation (the “Company”) entered into an Underwriting Agreement (the “Underwriting Agreement”) with Morgan Stanley Asia Limited, Jefferies LLC, and Citigroup Global Markets Inc., as representatives of the several underwriters named therein (the “Underwriters”), relating to the underwritten public offering (the “Offering”) of 7,700,000 American Depositary Shares (“ADSs”), representing 15,400,000 ordinary shares, at a price to the public of $29.35 per ADS. All of the ADSs are being offered by the Company. The Offering is expected to close on or about June 23, 2026, subject to the satisfaction of customary closing conditions. The Company has also granted the underwriters a 30-day option to purchase up to 1,155,000 additional ADSs at the public offering price, less the underwriting discounts and commissions. The net proceeds to the Company from the Offering are expected to be approximately $211.6 million, after deducting underwriting discounts and commissions and estimated offering expenses, assuming no exercise by the Underwriters of their option to purchase additional ADSs.</w:t>
      </w:r>
    </w:p>
    <w:p>
      <w:pPr>
        <w:spacing w:after="0" w:line="19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effective shelf registration statement on Form F-3 (File No. 333-278050), which was filed and automatically effective on March 19, 2024, as supplemented by a prospectus supplement dated June 17, 2026.</w:t>
      </w:r>
    </w:p>
    <w:p>
      <w:pPr>
        <w:spacing w:after="0" w:line="162"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7"/>
          <w:szCs w:val="17"/>
          <w:color w:val="auto"/>
        </w:rPr>
        <w:t>The Underwriting Agreement contains customary representations, warranties and covenants,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The foregoing is only a brief description of the terms of the Underwriting Agreement, does not purport to be a complete description of the rights and obligations of the parties thereunder, and is qualified in its entirety by reference to the Underwriting Agreement that is filed as Exhibit 1.1 to this Form</w:t>
      </w:r>
    </w:p>
    <w:p>
      <w:pPr>
        <w:spacing w:after="0" w:line="5" w:lineRule="exact"/>
        <w:rPr>
          <w:sz w:val="20"/>
          <w:szCs w:val="20"/>
          <w:color w:val="auto"/>
        </w:rPr>
      </w:pPr>
    </w:p>
    <w:p>
      <w:pPr>
        <w:ind w:left="4"/>
        <w:spacing w:after="0" w:line="260" w:lineRule="auto"/>
        <w:rPr>
          <w:sz w:val="20"/>
          <w:szCs w:val="20"/>
          <w:color w:val="auto"/>
        </w:rPr>
      </w:pPr>
      <w:r>
        <w:rPr>
          <w:rFonts w:ascii="Times New Roman" w:cs="Times New Roman" w:eastAsia="Times New Roman" w:hAnsi="Times New Roman"/>
          <w:sz w:val="18"/>
          <w:szCs w:val="18"/>
          <w:color w:val="auto"/>
        </w:rPr>
        <w:t>6-K and incorporated by reference herein. The legal opinion of Maples and Calder (Hong Kong) LLP relating to the ordinary shares underlying the ADS offered in the Offering is filed as Exhibit 5.1 to this Form 6-K and incorporated by reference herein.</w:t>
      </w:r>
    </w:p>
    <w:p>
      <w:pPr>
        <w:spacing w:after="0" w:line="18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On June 17, 2026, the Company issued a press release announcing the pricing of the Offering. A copy of this press release is filed as Exhibit 99.1 to this Form 6-K.</w:t>
      </w:r>
    </w:p>
    <w:p>
      <w:pPr>
        <w:spacing w:after="0" w:line="162"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Form 6-K, including Exhibits 1.1 and 5.1 hereto, but excluding Exhibit 99.1, is hereby incorporated by reference into the Company’s Registration Statements on Form F-3 (Registration No. 333-278050 and 333-257625) and the Company’s Registration Statements on Form S-8 (Registration Nos. 333-283217 and 333-239478).</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50" w:lineRule="exact"/>
        <w:rPr>
          <w:sz w:val="20"/>
          <w:szCs w:val="20"/>
          <w:color w:val="auto"/>
        </w:rPr>
      </w:pPr>
    </w:p>
    <w:p>
      <w:pPr>
        <w:ind w:left="4"/>
        <w:spacing w:after="0"/>
        <w:tabs>
          <w:tab w:leader="none" w:pos="5564"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16510</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9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  1.1</w:t>
      </w:r>
      <w:r>
        <w:rPr>
          <w:sz w:val="20"/>
          <w:szCs w:val="20"/>
          <w:color w:val="auto"/>
        </w:rPr>
        <w:tab/>
      </w:r>
      <w:r>
        <w:rPr>
          <w:rFonts w:ascii="Times New Roman" w:cs="Times New Roman" w:eastAsia="Times New Roman" w:hAnsi="Times New Roman"/>
          <w:sz w:val="17"/>
          <w:szCs w:val="17"/>
          <w:u w:val="single" w:color="auto"/>
          <w:color w:val="0000EE"/>
        </w:rPr>
        <w:t>Underwriting Agreement</w:t>
      </w:r>
    </w:p>
    <w:p>
      <w:pPr>
        <w:spacing w:after="0" w:line="117" w:lineRule="exact"/>
        <w:rPr>
          <w:sz w:val="20"/>
          <w:szCs w:val="20"/>
          <w:color w:val="auto"/>
        </w:rPr>
      </w:pPr>
    </w:p>
    <w:p>
      <w:pPr>
        <w:ind w:left="84" w:hanging="84"/>
        <w:spacing w:after="0"/>
        <w:tabs>
          <w:tab w:leader="none" w:pos="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Maples and Calder (Hong Kong) LLP</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Maples and Calder (Hong Kong) LLP (included in Exhibit 5.1)</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17, 2026</w:t>
      </w:r>
    </w:p>
    <w:p>
      <w:pPr>
        <w:sectPr>
          <w:pgSz w:w="11900" w:h="16838" w:orient="portrait"/>
          <w:cols w:equalWidth="0" w:num="1">
            <w:col w:w="10984"/>
          </w:cols>
          <w:pgMar w:left="436"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Ying Huang</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Ying Huang, Ph.D.</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7,700,000 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15,400,000 ORDINARY SHARES, $0.0001 PAR VALUE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Asia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46th Floor, International Commerce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Legend Biotech Corporation, an exempted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Morgan Stanley Asia Limited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and Citigroup Global Markets Inc. (“</w:t>
      </w:r>
      <w:r>
        <w:rPr>
          <w:rFonts w:ascii="Times New Roman" w:cs="Times New Roman" w:eastAsia="Times New Roman" w:hAnsi="Times New Roman"/>
          <w:sz w:val="18"/>
          <w:szCs w:val="18"/>
          <w:b w:val="1"/>
          <w:bCs w:val="1"/>
          <w:color w:val="auto"/>
        </w:rPr>
        <w:t>Citigroup</w:t>
      </w:r>
      <w:r>
        <w:rPr>
          <w:rFonts w:ascii="Times New Roman" w:cs="Times New Roman" w:eastAsia="Times New Roman" w:hAnsi="Times New Roman"/>
          <w:sz w:val="18"/>
          <w:szCs w:val="18"/>
          <w:color w:val="auto"/>
        </w:rPr>
        <w:t>”)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7,700,000 American Depositary Shares representing 15,400,000 ordinary shares, $0.0001 par value per share (the “</w:t>
      </w:r>
      <w:r>
        <w:rPr>
          <w:rFonts w:ascii="Times New Roman" w:cs="Times New Roman" w:eastAsia="Times New Roman" w:hAnsi="Times New Roman"/>
          <w:sz w:val="18"/>
          <w:szCs w:val="18"/>
          <w:b w:val="1"/>
          <w:bCs w:val="1"/>
          <w:color w:val="auto"/>
        </w:rPr>
        <w:t>Firm ADSs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The Company also proposes to issue and sell to the several Underwriters not more than an additional 1,155,000 American Depositary Shares representing 2,310,000 ordinary shares, $0.0001 par value per share (the “</w:t>
      </w:r>
      <w:r>
        <w:rPr>
          <w:rFonts w:ascii="Times New Roman" w:cs="Times New Roman" w:eastAsia="Times New Roman" w:hAnsi="Times New Roman"/>
          <w:sz w:val="18"/>
          <w:szCs w:val="18"/>
          <w:b w:val="1"/>
          <w:bCs w:val="1"/>
          <w:color w:val="auto"/>
        </w:rPr>
        <w:t>Additional ADSs</w:t>
      </w:r>
      <w:r>
        <w:rPr>
          <w:rFonts w:ascii="Times New Roman" w:cs="Times New Roman" w:eastAsia="Times New Roman" w:hAnsi="Times New Roman"/>
          <w:sz w:val="18"/>
          <w:szCs w:val="18"/>
          <w:color w:val="auto"/>
        </w:rPr>
        <w:t>”), if and to the extent that the Representatives shall have determined to exercise, on behalf of the Underwriters, the right to purchase such American Depositary Shares granted to the Underwriters in Section 2 hereof. The Firm ADSs and the Additional ADSs are hereinafter collectively referred to as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ordinary shares, $0.0001 par value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40" w:firstLine="440"/>
        <w:spacing w:after="0" w:line="262" w:lineRule="auto"/>
        <w:rPr>
          <w:sz w:val="20"/>
          <w:szCs w:val="20"/>
          <w:color w:val="auto"/>
        </w:rPr>
      </w:pPr>
      <w:r>
        <w:rPr>
          <w:rFonts w:ascii="Times New Roman" w:cs="Times New Roman" w:eastAsia="Times New Roman" w:hAnsi="Times New Roman"/>
          <w:sz w:val="18"/>
          <w:szCs w:val="18"/>
          <w:color w:val="auto"/>
        </w:rPr>
        <w:t>The ADSs are to be issued pursuant to a deposit agreement dated June 5, 2020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the Company, JPMorgan Chase 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the owners and holders from time to time of the American Depositary Receipts (the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issued by the Depositary and evidencing the ADSs. Each American Depositary Share will initially represent the right to receive two Ordinary Shares deposited pursuant to the Deposit Agreement.</w:t>
      </w:r>
    </w:p>
    <w:p>
      <w:pPr>
        <w:sectPr>
          <w:pgSz w:w="11900" w:h="16838" w:orient="portrait"/>
          <w:cols w:equalWidth="0" w:num="1">
            <w:col w:w="11020"/>
          </w:cols>
          <w:pgMar w:left="440" w:top="270"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an automatic shelf registration statement as defined 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405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Form F-3ASR (File No. 333-278050), including a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relating to the Ordinary Shares represented by the ADSs. Such registration statement, as amended to the date of this Agreement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including the information (if any) deemed to be part of the registration statement at the time of effectiveness pursuant to Rule 430A or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430B under the Securities Act,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in the form first used to confirm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ADSs (or in the form first made available to the Underwriters by the Company to meet requests of purchasers pursuant to Rule 173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 supplement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relating to the ADSs in the form first used to confirm sales of the ADSs (or in the form first made available to the Underwriters by the Company to meet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Company has filed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F-6EF (No. 333-296862) relating to the ADSs with the Commission (such registration statement on Form F-6EF,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all exhibits thereto, as amended at the time such registration statement becomes effective, being hereafter referred to as the “</w:t>
      </w:r>
      <w:r>
        <w:rPr>
          <w:rFonts w:ascii="Times New Roman" w:cs="Times New Roman" w:eastAsia="Times New Roman" w:hAnsi="Times New Roman"/>
          <w:sz w:val="18"/>
          <w:szCs w:val="18"/>
          <w:b w:val="1"/>
          <w:bCs w:val="1"/>
          <w:color w:val="auto"/>
        </w:rPr>
        <w:t>ADS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Company has also filed, in accordance with Section 12 of the Securities Exchange Act of 1934,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 registration statement on Form 8-A (the “</w:t>
      </w:r>
      <w:r>
        <w:rPr>
          <w:rFonts w:ascii="Times New Roman" w:cs="Times New Roman" w:eastAsia="Times New Roman" w:hAnsi="Times New Roman"/>
          <w:sz w:val="18"/>
          <w:szCs w:val="18"/>
          <w:b w:val="1"/>
          <w:bCs w:val="1"/>
          <w:color w:val="auto"/>
        </w:rPr>
        <w:t>Form 8-A Registration Statement</w:t>
      </w:r>
      <w:r>
        <w:rPr>
          <w:rFonts w:ascii="Times New Roman" w:cs="Times New Roman" w:eastAsia="Times New Roman" w:hAnsi="Times New Roman"/>
          <w:sz w:val="18"/>
          <w:szCs w:val="18"/>
          <w:color w:val="auto"/>
        </w:rPr>
        <w:t>”) to register the Ordinary Shares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12(b) of the Exchange Act.</w:t>
      </w:r>
    </w:p>
    <w:p>
      <w:pPr>
        <w:spacing w:after="0" w:line="20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Underwriting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preliminary prospectus together with the documents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Basic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6" w:name="page7"/>
    <w:bookmarkEnd w:id="6"/>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67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the ADS Registration Statement has become effective; no stop order suspending the effectiveness of the Registration Statement or the ADS Registration Statement is in effect, and no proceedings for such purpose or pursuant to Section 8A under the Securities Act are pending before or, to the Company’s knowledge, threatened by the Commission.</w:t>
      </w:r>
    </w:p>
    <w:p>
      <w:pPr>
        <w:spacing w:after="0" w:line="67" w:lineRule="exact"/>
        <w:rPr>
          <w:rFonts w:ascii="Times New Roman" w:cs="Times New Roman" w:eastAsia="Times New Roman" w:hAnsi="Times New Roman"/>
          <w:sz w:val="18"/>
          <w:szCs w:val="18"/>
          <w:color w:val="auto"/>
        </w:rPr>
      </w:pPr>
    </w:p>
    <w:p>
      <w:pPr>
        <w:ind w:left="4" w:firstLine="419"/>
        <w:spacing w:after="0" w:line="252" w:lineRule="auto"/>
        <w:tabs>
          <w:tab w:leader="none" w:pos="68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of the Registration Statement and the ADS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each of the Registration Statement, the ADS Registration Statement and the Prospectus comply and, as amended or supplemented, if applicable, will comply, as of the date of such amendment or supplement, in all material respects with the Securities Act and the applicable rules and regulations of the Commission thereunder, (iv) the Time of Sale Prospectus does not, and at the time of each sale of the ADSs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will not contain, as of the date of such amendment or supplement, or as of the Closing Date and each Option Closing Date (as defined in Section 2), any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or on their behalf expressly for use therein, it being understood and agreed that the only such information is that described in Section 8(b).</w:t>
      </w:r>
    </w:p>
    <w:p>
      <w:pPr>
        <w:spacing w:after="0" w:line="12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68" w:right="479" w:bottom="1440" w:gutter="0" w:footer="0" w:header="0"/>
        </w:sectPr>
      </w:pPr>
    </w:p>
    <w:bookmarkStart w:id="7" w:name="page8"/>
    <w:bookmarkEnd w:id="7"/>
    <w:p>
      <w:pPr>
        <w:ind w:firstLine="419"/>
        <w:spacing w:after="0" w:line="254" w:lineRule="auto"/>
        <w:tabs>
          <w:tab w:leader="none" w:pos="6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when filed, in all material respects with the requirements of the Securities Act and the applicable rules and regulations of the Commission thereunder. Except for the free writing prospectuses, if any, identified in Schedule II hereto, and electronic road shows, if any, each furnished to the Underwriters before first use, the Company has not prepared, used or referred to, and will not, without the Representatives’ prior consent, prepare, use or refer to, any free writing prospectus.</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the Registration Statement, the Time of Sale Prospectus and the Prospectus and is duly qualified to transact business and is in good standing in each jurisdiction (to the extent the concept of good standing or an equivalent concept is applicable in such jurisdiction) in which the conduct of its business or its ownership or leasing of property requires such qualification, except to the extent that the failure to be so qualified or be in good standing (to the extent the concept of good standing or an equivalent concept is applicable in such jurisdiction) would not, singly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right="40" w:firstLine="419"/>
        <w:spacing w:after="0" w:line="253" w:lineRule="auto"/>
        <w:tabs>
          <w:tab w:leader="none" w:pos="6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significant subsidiary (as such term is defined in Rule 1-02 of Regulation S-X under the Exchange Act) of the Company has been duly incorporated, is validly existing as a corporation in good standing under the laws of the jurisdiction of its incorporation (to the extent the concept of good standing or an equivalent concept is applicable in such jurisdiction), has the corporate power and authority to own or lease its property and to conduct its business as described in the Registration Statement, the Time of Sale Prospectus and the Prospectus and is duly qualified to transact business and is in good standing in each jurisdiction (to the extent the concept of good standing or an equivalent concept is applicable in such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of each significant subsidiary (as such term is defined in Rule 1-02 of Regulation S-X under the Exchange Act) of the Company have been duly and validly authorized and issued, are fully paid and non-assessable, except to the extent that such failure to pay would not reasonably be expected to have a material adverse effect on the Company and its subsidiaries, taken as a whole, and are owned directly or indirectly by the Company, free and clear of all liens, encumbrances, equities or claims, except to the extent that such liens, encumbrances, equity or claims would not reasonably be expected to have a material adverse effect on the Company and its subsidiaries, taken as a whole.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left="640" w:hanging="2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Agreement was duly authorized and constitutes a valid and legally binding agreement of the Company, enforceable in accordance with its terms, subject, as to enforceability, to bankruptcy, insolvency, fraudulent transfer, reorganization, moratorium and similar laws of general applicability relating to or affecting creditors’ rights and to general equity principles, and upon issuance by the Depositary of ADRs evidencing ADSs and the deposit of Ordinary Shares in respect thereof in accordance with the provisions of the Deposit Agreement, such ADRs will be duly and validly issued and the persons in whose names the ADRs are registered will be entitled to the rights specified therein and in the Deposit Agreement; and the Deposit Agreement and the ADRs conform in all material respects to the descriptions thereof contained in each of the Time of Sale Prospectus and the Prospectus.</w:t>
      </w:r>
    </w:p>
    <w:p>
      <w:pPr>
        <w:spacing w:after="0" w:line="80"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conforms as to legal matters in all material respects to the description thereof contained in each of the Registration Statement, the Time of Sale Prospectus and the Prospectus.</w:t>
      </w:r>
    </w:p>
    <w:p>
      <w:pPr>
        <w:spacing w:after="0" w:line="53" w:lineRule="exact"/>
        <w:rPr>
          <w:rFonts w:ascii="Times New Roman" w:cs="Times New Roman" w:eastAsia="Times New Roman" w:hAnsi="Times New Roman"/>
          <w:sz w:val="18"/>
          <w:szCs w:val="18"/>
          <w:color w:val="auto"/>
        </w:rPr>
      </w:pPr>
    </w:p>
    <w:p>
      <w:pPr>
        <w:ind w:right="600" w:firstLine="419"/>
        <w:spacing w:after="0" w:line="282" w:lineRule="auto"/>
        <w:tabs>
          <w:tab w:leader="none" w:pos="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outstanding prior to the issuance of the Ordinary Shares represented by the ADSs to be sold pursuant to this Agreement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ind w:right="220" w:firstLine="419"/>
        <w:spacing w:after="0" w:line="266" w:lineRule="auto"/>
        <w:tabs>
          <w:tab w:leader="none" w:pos="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represented by the ADSs to be sold pursuant to this Agreement have been duly authorized and, when issued, delivered and paid for in accordance with the terms of this Agreement, will be validly issued, fully paid and non-assessable, and the issuance of such Ordinary Shares will not be subject to any preemptive or similar rights that have not been validly waived.</w:t>
      </w:r>
    </w:p>
    <w:p>
      <w:pPr>
        <w:spacing w:after="0" w:line="67" w:lineRule="exact"/>
        <w:rPr>
          <w:rFonts w:ascii="Times New Roman" w:cs="Times New Roman" w:eastAsia="Times New Roman" w:hAnsi="Times New Roman"/>
          <w:sz w:val="18"/>
          <w:szCs w:val="18"/>
          <w:color w:val="auto"/>
        </w:rPr>
      </w:pPr>
    </w:p>
    <w:p>
      <w:pPr>
        <w:ind w:right="200" w:firstLine="419"/>
        <w:spacing w:after="0" w:line="221" w:lineRule="exact"/>
        <w:tabs>
          <w:tab w:leader="none" w:pos="67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the Company of, and the performance by the Company of its obligations under, this Agreement and the issuance and sale of the ADSs and the deposit of the Ordinary Shares after the execution, delivery and performance of this Agreement and the Deposit Agreement, will not contravene any provision of (i) applicable law (including but not limited to the foreign exchange rules, the Trial Administrative Measures of Overseas Securities Offering and Listing by Domestic Companies (</w:t>
      </w:r>
      <w:r>
        <w:rPr>
          <w:rFonts w:ascii="SimSun" w:cs="SimSun" w:eastAsia="SimSun" w:hAnsi="SimSun"/>
          <w:sz w:val="15"/>
          <w:szCs w:val="15"/>
          <w:color w:val="auto"/>
        </w:rPr>
        <w:t>境内企业境外发行证券和上市管理试行办法</w:t>
      </w:r>
      <w:r>
        <w:rPr>
          <w:rFonts w:ascii="Times New Roman" w:cs="Times New Roman" w:eastAsia="Times New Roman" w:hAnsi="Times New Roman"/>
          <w:sz w:val="17"/>
          <w:szCs w:val="17"/>
          <w:color w:val="auto"/>
        </w:rPr>
        <w:t>) and supporting guidelines issued by the China Securities Regulatory Commission (“</w:t>
      </w:r>
      <w:r>
        <w:rPr>
          <w:rFonts w:ascii="Times New Roman" w:cs="Times New Roman" w:eastAsia="Times New Roman" w:hAnsi="Times New Roman"/>
          <w:sz w:val="17"/>
          <w:szCs w:val="17"/>
          <w:b w:val="1"/>
          <w:bCs w:val="1"/>
          <w:color w:val="auto"/>
        </w:rPr>
        <w:t>CSRC</w:t>
      </w:r>
      <w:r>
        <w:rPr>
          <w:rFonts w:ascii="Times New Roman" w:cs="Times New Roman" w:eastAsia="Times New Roman" w:hAnsi="Times New Roman"/>
          <w:sz w:val="17"/>
          <w:szCs w:val="17"/>
          <w:color w:val="auto"/>
        </w:rPr>
        <w:t>”) on February 17, 2023 (as amended, supplemented or otherwise modified from time to time, the “</w:t>
      </w:r>
      <w:r>
        <w:rPr>
          <w:rFonts w:ascii="Times New Roman" w:cs="Times New Roman" w:eastAsia="Times New Roman" w:hAnsi="Times New Roman"/>
          <w:sz w:val="17"/>
          <w:szCs w:val="17"/>
          <w:b w:val="1"/>
          <w:bCs w:val="1"/>
          <w:color w:val="auto"/>
        </w:rPr>
        <w:t>CSRC Filing Rules</w:t>
      </w:r>
      <w:r>
        <w:rPr>
          <w:rFonts w:ascii="Times New Roman" w:cs="Times New Roman" w:eastAsia="Times New Roman" w:hAnsi="Times New Roman"/>
          <w:sz w:val="17"/>
          <w:szCs w:val="17"/>
          <w:color w:val="auto"/>
        </w:rPr>
        <w:t>”) and the Provisions on Strengthening Confidentiality and Archives</w:t>
      </w:r>
    </w:p>
    <w:p>
      <w:pPr>
        <w:spacing w:after="0" w:line="1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9" w:name="page10"/>
    <w:bookmarkEnd w:id="9"/>
    <w:p>
      <w:pPr>
        <w:spacing w:after="0" w:line="218"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 of Overseas Securities Offering and Listing by Domestic Companies (</w:t>
      </w:r>
      <w:r>
        <w:rPr>
          <w:rFonts w:ascii="SimSun" w:cs="SimSun" w:eastAsia="SimSun" w:hAnsi="SimSun"/>
          <w:sz w:val="16"/>
          <w:szCs w:val="16"/>
          <w:color w:val="auto"/>
        </w:rPr>
        <w:t>关于加强境内企业境外发行证券和上市相关保密和档案管理工作的规定</w:t>
      </w:r>
      <w:r>
        <w:rPr>
          <w:rFonts w:ascii="Times New Roman" w:cs="Times New Roman" w:eastAsia="Times New Roman" w:hAnsi="Times New Roman"/>
          <w:sz w:val="18"/>
          <w:szCs w:val="18"/>
          <w:color w:val="auto"/>
        </w:rPr>
        <w:t xml:space="preserve"> ) issued by the CSRC on February 24, 2023 (as amended, supplemented or otherwise modified from time to time, the “</w:t>
      </w:r>
      <w:r>
        <w:rPr>
          <w:rFonts w:ascii="Times New Roman" w:cs="Times New Roman" w:eastAsia="Times New Roman" w:hAnsi="Times New Roman"/>
          <w:sz w:val="18"/>
          <w:szCs w:val="18"/>
          <w:b w:val="1"/>
          <w:bCs w:val="1"/>
          <w:color w:val="auto"/>
        </w:rPr>
        <w:t>CSRC Archive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together with the CSRC Filing Rules, the “</w:t>
      </w:r>
      <w:r>
        <w:rPr>
          <w:rFonts w:ascii="Times New Roman" w:cs="Times New Roman" w:eastAsia="Times New Roman" w:hAnsi="Times New Roman"/>
          <w:sz w:val="18"/>
          <w:szCs w:val="18"/>
          <w:b w:val="1"/>
          <w:bCs w:val="1"/>
          <w:color w:val="auto"/>
        </w:rPr>
        <w:t>CSRC Rules</w:t>
      </w:r>
      <w:r>
        <w:rPr>
          <w:rFonts w:ascii="Times New Roman" w:cs="Times New Roman" w:eastAsia="Times New Roman" w:hAnsi="Times New Roman"/>
          <w:sz w:val="18"/>
          <w:szCs w:val="18"/>
          <w:color w:val="auto"/>
        </w:rPr>
        <w:t>”), (ii) the certificate of incorporation or memorandum and articles of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(iii) and (iv) above, where such contravention would not, individually or in the aggregate, reasonably be expected to have a material adverse effect on the Company and its subsidiaries, taken as a whole, or on the power or ability of the Company to perform its obligations under this Agreement; and no consent, approval, authorization or order of, or qualification with, any governmental body, agency or court is required for the performance by the Company of its obligations under this Agreement, except (i) a post-closing filing with respect to the ADSs with the CSRC to be made within three (3) business days in the PRC after the Closing Date (the “</w:t>
      </w:r>
      <w:r>
        <w:rPr>
          <w:rFonts w:ascii="Times New Roman" w:cs="Times New Roman" w:eastAsia="Times New Roman" w:hAnsi="Times New Roman"/>
          <w:sz w:val="18"/>
          <w:szCs w:val="18"/>
          <w:b w:val="1"/>
          <w:bCs w:val="1"/>
          <w:color w:val="auto"/>
        </w:rPr>
        <w:t>Post-Closing CSRC Filing Report</w:t>
      </w:r>
      <w:r>
        <w:rPr>
          <w:rFonts w:ascii="Times New Roman" w:cs="Times New Roman" w:eastAsia="Times New Roman" w:hAnsi="Times New Roman"/>
          <w:sz w:val="18"/>
          <w:szCs w:val="18"/>
          <w:color w:val="auto"/>
        </w:rPr>
        <w:t>”) and (ii) such as has previously been obtained and such as may be required by the securities or Blue Sky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various states or foreign jurisdictions. For purposes of this Agreement, the “</w:t>
      </w:r>
      <w:r>
        <w:rPr>
          <w:rFonts w:ascii="Times New Roman" w:cs="Times New Roman" w:eastAsia="Times New Roman" w:hAnsi="Times New Roman"/>
          <w:sz w:val="18"/>
          <w:szCs w:val="18"/>
          <w:b w:val="1"/>
          <w:bCs w:val="1"/>
          <w:color w:val="auto"/>
        </w:rPr>
        <w:t>CSRC Filings</w:t>
      </w:r>
      <w:r>
        <w:rPr>
          <w:rFonts w:ascii="Times New Roman" w:cs="Times New Roman" w:eastAsia="Times New Roman" w:hAnsi="Times New Roman"/>
          <w:sz w:val="18"/>
          <w:szCs w:val="18"/>
          <w:color w:val="auto"/>
        </w:rPr>
        <w:t>” means the Post-Closing CSRC Filing Report and any other filing, report, submission, correspondence or response to comments or inquiries made or to be made by or on behalf of the Company or any of its subsidiaries to the CSRC pursuant to the CSRC Rules in connection with the offering and sale of the ADSs or the transactions contemplated hereby. Each CSRC Filing made or to be made by or on behalf of the Company or any of its subsidiaries is, or when made will be, complete, true and accurate in all material respects and not misleading in any material respect and complies, or when made will comply, in all material respects with the disclosure and other applicable requirements of the CSRC Rules. All information disclosed or made available in writing or orally by or on behalf of the Company or any of its subsidiaries to the CSRC, the Underwriters or their counsel for purposes of preparing or submitting any CSRC Filing or responding to any comments or inquiries from the CSRC has been or will be disclosed or made available in full and in good faith and is, or when so disclosed or made available will be, complete, true and accurate in all material respects and not misleading in any material respect; and no material information has been or will be withheld that would make such information misleading in any material respect. The Company has complied, and will comply, in all material respects with all requirements under the CSRC Rules applicable to the offering and sale of the ADSs and the transactions contemplated hereby, including timely submitting the Post-Closing CSRC Filing Report, and neither the Company nor any of its subsidiaries has received any notice of rejection, withdrawal, revocation or objection from the CSRC in connection with any CSRC Filing or the offering and sale of the ADSs.</w:t>
      </w:r>
    </w:p>
    <w:p>
      <w:pPr>
        <w:spacing w:after="0" w:line="14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right="280" w:firstLine="419"/>
        <w:spacing w:after="0" w:line="266"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a material adverse effect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86"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ADSs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taken as a whole,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jc w:val="both"/>
        <w:ind w:right="40" w:firstLine="419"/>
        <w:spacing w:after="0" w:line="261"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right="100" w:firstLine="419"/>
        <w:spacing w:after="0" w:line="258"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have been validly waived or complied with in connection with the issuance and sale of the ADSs contemplated hereby and as have been described in each of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Ordinary Shares registered pursuant to the Registration Statement.</w:t>
      </w:r>
    </w:p>
    <w:p>
      <w:pPr>
        <w:spacing w:after="0" w:line="75" w:lineRule="exact"/>
        <w:rPr>
          <w:rFonts w:ascii="Times New Roman" w:cs="Times New Roman" w:eastAsia="Times New Roman" w:hAnsi="Times New Roman"/>
          <w:sz w:val="18"/>
          <w:szCs w:val="18"/>
          <w:color w:val="auto"/>
        </w:rPr>
      </w:pPr>
    </w:p>
    <w:p>
      <w:pPr>
        <w:ind w:firstLine="419"/>
        <w:spacing w:after="0" w:line="269" w:lineRule="auto"/>
        <w:tabs>
          <w:tab w:leader="none" w:pos="65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7"/>
          <w:szCs w:val="17"/>
          <w:b w:val="1"/>
          <w:bCs w:val="1"/>
          <w:color w:val="auto"/>
        </w:rPr>
        <w:t>Government Official</w:t>
      </w:r>
      <w:r>
        <w:rPr>
          <w:rFonts w:ascii="Times New Roman" w:cs="Times New Roman" w:eastAsia="Times New Roman" w:hAnsi="Times New Roman"/>
          <w:sz w:val="17"/>
          <w:szCs w:val="17"/>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20" w:firstLine="419"/>
        <w:spacing w:after="0" w:line="253"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 The Company and each of its subsidiaries have instituted and maintained and will continue to maintain policies and procedures reasonably designed to promote and achieve compliance with such laws. Neither the Company nor any of its subsidiaries will use, directly or indirectly, the proceeds of the Loans to fund or facilitate any money laundering or terrorist financing activities; or in any other manner that would cause or result in a violation of any Anti-Money Laundering Laws, by any Person.</w:t>
      </w:r>
    </w:p>
    <w:p>
      <w:pPr>
        <w:spacing w:after="0" w:line="83"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540" w:firstLine="408"/>
        <w:spacing w:after="0" w:line="266" w:lineRule="auto"/>
        <w:tabs>
          <w:tab w:leader="none" w:pos="123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2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 so-called Donetsk People’s Republic, the so-called Luhansk People’s Republic, Crimea, Cuba, Iran, North Korea, Russia, Syria (prior to July 1, 2025) and Venezuela).</w:t>
      </w:r>
    </w:p>
    <w:p>
      <w:pPr>
        <w:spacing w:after="0" w:line="67" w:lineRule="exact"/>
        <w:rPr>
          <w:rFonts w:ascii="Times New Roman" w:cs="Times New Roman" w:eastAsia="Times New Roman" w:hAnsi="Times New Roman"/>
          <w:sz w:val="18"/>
          <w:szCs w:val="18"/>
          <w:color w:val="auto"/>
        </w:rPr>
      </w:pPr>
    </w:p>
    <w:p>
      <w:pPr>
        <w:ind w:left="540" w:right="300" w:firstLine="7"/>
        <w:spacing w:after="0" w:line="282" w:lineRule="auto"/>
        <w:tabs>
          <w:tab w:leader="none" w:pos="8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3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except to the extent permitted for a Person required to comply with Sanctions; or</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70" w:right="499" w:bottom="1440" w:gutter="0" w:footer="0" w:header="0"/>
        </w:sectPr>
      </w:pPr>
    </w:p>
    <w:bookmarkStart w:id="13" w:name="page14"/>
    <w:bookmarkEnd w:id="13"/>
    <w:p>
      <w:pPr>
        <w:ind w:left="540" w:right="40" w:firstLine="408"/>
        <w:spacing w:after="0" w:line="282" w:lineRule="auto"/>
        <w:tabs>
          <w:tab w:leader="none" w:pos="1226"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540" w:right="100" w:firstLine="7"/>
        <w:spacing w:after="0" w:line="256" w:lineRule="auto"/>
        <w:tabs>
          <w:tab w:leader="none" w:pos="8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since the more recent of April 24, 2019 or 10 years prior to the date of the Agreement knowingly engaged in, are not now knowingly engaged in, and will not engage in, any dealings or transactions with any Person, or in any country or territory that at the time of the dealing or transaction is or whose government is or, was the subject of Sanctions, except to the extent permitted for a Person required to comply with Sanctions. The Company and each of its subsidiaries have instituted and maintained and will continue to maintain policies and procedures reasonably designed to promote and achieve compliance with Sanctions.</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(except for acquisitions of share capital by the Company pursuant to agreements that permit the Company to repurchase such shares or in connection with the exercise of the Company’s right of first refusal with respect to transfers of such shares upon the applicable party’s termination of service to the Company), nor declared, paid or otherwise made any dividend or distribution of any kind on its share capital other than ordinary and customary dividends; and (iii) there has not been any material change in the share capital and/or capital stock (other than the exercise or forfeiture of equity awards outstanding on such respective dates as of which information is given in each of the Registration Statement, the Time of Sale Prospectus and the Prospectus, in each case granted pursuant to equity compensation plans described in the Registration Statement, the Time of Sale Prospectus and the Prospectus), short-term debt or long-term debt of the Company and its subsidiaries, taken as a whole.</w:t>
      </w:r>
    </w:p>
    <w:p>
      <w:pPr>
        <w:spacing w:after="0" w:line="86" w:lineRule="exact"/>
        <w:rPr>
          <w:rFonts w:ascii="Times New Roman" w:cs="Times New Roman" w:eastAsia="Times New Roman" w:hAnsi="Times New Roman"/>
          <w:sz w:val="18"/>
          <w:szCs w:val="18"/>
          <w:color w:val="auto"/>
        </w:rPr>
      </w:pPr>
    </w:p>
    <w:p>
      <w:pPr>
        <w:ind w:firstLine="419"/>
        <w:spacing w:after="0" w:line="281" w:lineRule="auto"/>
        <w:tabs>
          <w:tab w:leader="none" w:pos="71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its subsidiaries is currently prohibited, directly or indirectly, under any agreement or other instrument to which it is a party or is subject, from paying any dividends to its shareholders, from making any other distribution on the Company or such subsidiary’s share capital or similar ownership interest, from making or repaying to any loans or advances to the Company or to such subsidiary or from transferring any of the properties or assets of the Company or such subsidiary to the Company or another entity controlled by the Company.</w:t>
      </w:r>
    </w:p>
    <w:p>
      <w:pPr>
        <w:spacing w:after="0" w:line="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00"/>
          </w:cols>
          <w:pgMar w:left="880" w:top="270" w:right="519" w:bottom="1440" w:gutter="0" w:footer="0" w:header="0"/>
        </w:sectPr>
      </w:pPr>
    </w:p>
    <w:bookmarkStart w:id="14" w:name="page15"/>
    <w:bookmarkEnd w:id="14"/>
    <w:p>
      <w:pPr>
        <w:ind w:right="40" w:firstLine="419"/>
        <w:spacing w:after="0" w:line="255"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and the Subsidiaries has complied in all material respects with any applicable rules and regulations of the relevant PRC government agencies (including but not limited to the Ministry of Commerce, the National Development and Reform Commission, the CSRC and the State Administration of Foreign Exchange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relating to overseas investment by PRC residents and citizens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Overseas Investment and Listing Regulations</w:t>
      </w:r>
      <w:r>
        <w:rPr>
          <w:rFonts w:ascii="Times New Roman" w:cs="Times New Roman" w:eastAsia="Times New Roman" w:hAnsi="Times New Roman"/>
          <w:sz w:val="18"/>
          <w:szCs w:val="18"/>
          <w:color w:val="auto"/>
        </w:rPr>
        <w:t>”), including, without limitation, requesting each such Person that is, or is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or controlled by, a PRC resident or citizen, to complete any registration and other procedures required under applicable PRC Overseas Investment and Listing Regulations (including any applicable rules and regulations of the SAFE), except where such non-compliance would not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Mergers and Acquisitions Rules</w:t>
      </w:r>
      <w:r>
        <w:rPr>
          <w:rFonts w:ascii="Times New Roman" w:cs="Times New Roman" w:eastAsia="Times New Roman" w:hAnsi="Times New Roman"/>
          <w:sz w:val="18"/>
          <w:szCs w:val="18"/>
          <w:color w:val="auto"/>
        </w:rPr>
        <w:t>”) jointly promulgated by the Ministry of Commerce, the State Assets Supervision and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the State Tax Administration, the State Administration of Industry and Commerce, the CSRC and the SAFE on August 8, 2006, and as amended by the Ministry of Commerce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and the CSRC Rules from its PRC counsel, and the Company understands such legal advice. The issuance and sale of the ADSs and the Ordinary Shares underlying such ADSs, the listing and trading of the ADSs on the Nasdaq Global Select Market and the consummation of the transactions contemplated by this Agreement and the Deposit Agreement (i) are not and will not be, as of the date hereof or at the Closing Date, materially and adversely affected by the PRC Mergers and Acquisitions Rules and (ii) do not require the prior approval of the CSRC. Neither the Company nor any of its subsidiaries nor, to the Company’s knowledge, any person that directly or indirectly controls the Company within the meaning of the Securities Act has given, entered into or is otherwise subject to any undertaking, commitment, side letter, assurance or similar arrangement, whether written or oral, with the CSRC in connection with the offering and sale of the ADSs or the Company’s overseas securities offerings and listings that has not been disclosed in writing to the Representatives. Neither the Company nor any of its subsidiaries has taken, or will take, directly or indirectly, any action in connection with the offering and sale of the ADSs that would constitute non-compliance with the CSRC Rules.</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5" w:name="page16"/>
    <w:bookmarkEnd w:id="15"/>
    <w:p>
      <w:pPr>
        <w:ind w:left="4" w:right="20" w:firstLine="419"/>
        <w:spacing w:after="0" w:line="254" w:lineRule="auto"/>
        <w:tabs>
          <w:tab w:leader="none" w:pos="6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good and marketable title in fee simple to all real property and good and marketable title to all personal property (other than intellectual property, which is covered by Section 1(aa)) below) owned by them which is material to the business of the Company and its subsidiaries, taken as a whole, in each case free and clear of all liens, encumbrances and defects except such as are described in the Registration Statement, the Time of Sale Prospectus and the Prospectus or such as do not materially diminish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taken as a whole, in each case except as described in the Registration Statement, the Time of Sale Prospectus and the Prospectus.</w:t>
      </w:r>
    </w:p>
    <w:p>
      <w:pPr>
        <w:spacing w:after="0" w:line="80" w:lineRule="exact"/>
        <w:rPr>
          <w:sz w:val="20"/>
          <w:szCs w:val="20"/>
          <w:color w:val="auto"/>
        </w:rPr>
      </w:pPr>
    </w:p>
    <w:p>
      <w:pPr>
        <w:ind w:left="4" w:firstLine="419"/>
        <w:spacing w:after="0" w:line="252" w:lineRule="auto"/>
        <w:tabs>
          <w:tab w:leader="none" w:pos="7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Prospectus or the Prospectus, (i) the Company and its subsidiaries solely and exclusively own or have a license to all patents, inventions, copyrights, know how (including trade secrets and other unpatented and/or unpatentable proprietary or confidential information, systems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held for use in or reasonably necessary to the conduct of their businesses; (ii) there is no pending or, to the Company’s knowledge, threatened action, suit, proceeding or claim by others challenging the validity, scope or enforceability of any such Intellectual Property Rights; provided that the representation and warranty in this clause (ii) as it relates to Intellectual Property Rights jointly owned and not controlled by, or licensed to, the Company or any of its subsidiaries is made to the Company’s knowledge in all respects, (iii) to the Company’s knowledge, the Intellectual Property Rights owned or controlled by, or licensed to, the Company or any of its subsidiaries are valid, subsisting and enforceable; (iv) neither the Company nor any of its subsidiaries has received any written notice alleging any infringement, misappropriation or other violation of Intellectual Property Rights of any third party by the Company or any of its subsidiaries; (v) to the Company’s knowledge, no third party is infringing, misappropriating or otherwise violating, or has infringed, misappropriated or otherwise violated, any valid Intellectual Property Rights owned or in-licensed by the Company or any of its subsidiaries;</w:t>
      </w:r>
    </w:p>
    <w:p>
      <w:pPr>
        <w:spacing w:after="0" w:line="1" w:lineRule="exact"/>
        <w:rPr>
          <w:rFonts w:ascii="Times New Roman" w:cs="Times New Roman" w:eastAsia="Times New Roman" w:hAnsi="Times New Roman"/>
          <w:sz w:val="18"/>
          <w:szCs w:val="18"/>
          <w:color w:val="auto"/>
        </w:rPr>
      </w:pPr>
    </w:p>
    <w:p>
      <w:pPr>
        <w:ind w:left="4" w:right="100" w:hanging="4"/>
        <w:spacing w:after="0" w:line="252" w:lineRule="auto"/>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neither the Company nor any of its subsidiaries infringes, misappropriates or otherwise violates, or has infringed, misappropriated or otherwise violated, any valid Intellectual Property Rights of any third party;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(viii) the Company and its subsidiaries use, and have used, commercially reasonable efforts to appropriately maintain all information intended to be maintained as a trade secret.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6" w:name="page17"/>
    <w:bookmarkEnd w:id="16"/>
    <w:p>
      <w:pPr>
        <w:ind w:left="4" w:firstLine="419"/>
        <w:spacing w:after="0" w:line="268" w:lineRule="auto"/>
        <w:tabs>
          <w:tab w:leader="none" w:pos="77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7"/>
          <w:szCs w:val="17"/>
          <w:b w:val="1"/>
          <w:bCs w:val="1"/>
          <w:color w:val="auto"/>
        </w:rPr>
        <w:t>Open Source Software</w:t>
      </w:r>
      <w:r>
        <w:rPr>
          <w:rFonts w:ascii="Times New Roman" w:cs="Times New Roman" w:eastAsia="Times New Roman" w:hAnsi="Times New Roman"/>
          <w:sz w:val="17"/>
          <w:szCs w:val="17"/>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redistributed at no charge.</w:t>
      </w:r>
    </w:p>
    <w:p>
      <w:pPr>
        <w:spacing w:after="0" w:line="98" w:lineRule="exact"/>
        <w:rPr>
          <w:rFonts w:ascii="Times New Roman" w:cs="Times New Roman" w:eastAsia="Times New Roman" w:hAnsi="Times New Roman"/>
          <w:sz w:val="18"/>
          <w:szCs w:val="18"/>
          <w:color w:val="auto"/>
        </w:rPr>
      </w:pPr>
    </w:p>
    <w:p>
      <w:pPr>
        <w:ind w:left="4" w:firstLine="419"/>
        <w:spacing w:after="0" w:line="252" w:lineRule="auto"/>
        <w:tabs>
          <w:tab w:leader="none" w:pos="7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individually or in the aggregate, have a material adverse effect on the Company and its subsidiaries, taken as a whole, the Company and each of its subsidiaries have complied and are presently in compliance with all internal and external Company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sensitive, confidential or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neither the Company nor any of its subsidiaries has received any notification of or complaint regarding and is unaware of any other facts that, individually or in the aggregate, would reasonably indicate non-compliance with any Data Security Obligation; and (iii) there is no action, suit, investigation or proceeding by or before any court or governmental agency, authority or body pending or threatened against the Company or any of its subsidiaries alleging non-compliance with any Data Security Obligation. For the avoidance of doubt, Data Security Obligations include, to the extent applicable, obligations under the CSRC Archive Rules. Neither the Company nor any of its subsidiaries is subject to any investigation, inquiry, sanction, cybersecurity review, action, suit or proceeding by the Cyberspace Administration of China (the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the CSRC or any other relevant governmental or regulatory authority relating to cybersecurity, data privacy, confidentiality or archive administration that would, individually or in the aggregate, reasonably be expected to have a material adverse effect on the Company and its subsidiaries, taken as a whole, or on the ability of the Company to consummate the transactions contemplated hereby; and neither the Company nor any of its subsidiaries has received any objection from the CSRC, the CAC or any other relevant governmental or regulatory authority to the offering and sale of the ADSs or the transactions contemplated hereby.</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17" w:name="page18"/>
    <w:bookmarkEnd w:id="17"/>
    <w:p>
      <w:pPr>
        <w:ind w:firstLine="419"/>
        <w:spacing w:after="0" w:line="253"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individually or in the aggregate, have a material adverse effect on the Company and its subsidiaries, taken as a whole, the Company and its subsidiaries’ information technology assets and equipment, computers, systems, networks, hardware, software, websites, applications and databases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appropriately as required in connection with, the operation of the business of the Company and its subsidiaries, free and clear of all bugs, errors, defects, Trojan horses, time bombs, malware and other corruptants. The Company and each of its subsidiaries have taken all technical and organizational measures necessary to protect the IT Systems and Data used in connection with the operation of the Company’s and its subsidiaries’ businesses. Without limiting the foregoing, the Company and its subsidiaries have used reasonable efforts to establish, maintain, implement, and comply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any IT Systems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Except as would not, individually or in the aggregate, have a material adverse effect on the Company and its subsidiaries, taken as a whole, the Company has experienced no such Breach, and the Company and its subsidiaries have not been notified of and have no knowledge of any event or condition that would reasonably be expected to result in, any such Breach.</w:t>
      </w:r>
    </w:p>
    <w:p>
      <w:pPr>
        <w:spacing w:after="0" w:line="79" w:lineRule="exact"/>
        <w:rPr>
          <w:rFonts w:ascii="Times New Roman" w:cs="Times New Roman" w:eastAsia="Times New Roman" w:hAnsi="Times New Roman"/>
          <w:sz w:val="18"/>
          <w:szCs w:val="18"/>
          <w:color w:val="auto"/>
        </w:rPr>
      </w:pPr>
    </w:p>
    <w:p>
      <w:pPr>
        <w:ind w:right="120" w:firstLine="419"/>
        <w:spacing w:after="0" w:line="261" w:lineRule="auto"/>
        <w:tabs>
          <w:tab w:leader="none" w:pos="7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right="80" w:firstLine="419"/>
        <w:spacing w:after="0" w:line="273" w:lineRule="auto"/>
        <w:tabs>
          <w:tab w:leader="none" w:pos="70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taken as a whole, are insured by insurers of recognized financial responsibility against such losses and risks and in such amounts as the Company reasonably believes are prudent and customary in the businesses in which they are engaged, except where the failure to be insured would not, individually or in the aggregate, reasonably be expected to have a material adverse effect on the Company and its subsidiaries,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firstLine="419"/>
        <w:spacing w:after="0" w:line="255"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possess all certificates, authorizations and permits issued by the appropriate federal, state or foreign regulatory authorities necessary to conduct their respective businesses, including, without limitation, from the Regulatory Authorities (as defined in Section 1(qq)), except where the failure to obtain such certificates, authorizations or permits would not, individually or in the aggregate,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thereto)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International Financial Reporting Standard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80" w:lineRule="exact"/>
        <w:rPr>
          <w:rFonts w:ascii="Times New Roman" w:cs="Times New Roman" w:eastAsia="Times New Roman" w:hAnsi="Times New Roman"/>
          <w:sz w:val="18"/>
          <w:szCs w:val="18"/>
          <w:color w:val="auto"/>
        </w:rPr>
      </w:pPr>
    </w:p>
    <w:p>
      <w:pPr>
        <w:jc w:val="both"/>
        <w:ind w:right="100" w:firstLine="419"/>
        <w:spacing w:after="0" w:line="266" w:lineRule="auto"/>
        <w:tabs>
          <w:tab w:leader="none" w:pos="6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industry and market related data included in the Registration Statement, the Time of Sale Prospectus and the Prospectus are based on or derived from sources that the Company reasonably and in good faith believes are reliable and accurate and such data is consistent with the sources from which they are derived, in each case in all material respects.</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left="4" w:firstLine="419"/>
        <w:spacing w:after="0" w:line="276" w:lineRule="auto"/>
        <w:tabs>
          <w:tab w:leader="none" w:pos="77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taken as a whole, maintain systems of “internal control over financial reporting,” as defined in Rule 13(a)-15(f) under the Exchange Act, that comply with the requirements of the Exchange Act and are designed to provide reasonable assurance that</w:t>
      </w:r>
    </w:p>
    <w:p>
      <w:pPr>
        <w:ind w:left="4" w:right="60" w:hanging="4"/>
        <w:spacing w:after="0" w:line="251" w:lineRule="auto"/>
        <w:tabs>
          <w:tab w:leader="none" w:pos="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as defined in Rule 13(a)-15(f) under the Exchange Act (whether or not remediated), except as described in the Registration Statement, the Time of Sale Prospectus and the Prospectus and (ii) no change in the Company’s internal control over financial reporting that has materially and adversely affected, or is reasonably likely to materially and adversely affect, the Company’s internal control over financial reporting.</w:t>
      </w:r>
    </w:p>
    <w:p>
      <w:pPr>
        <w:spacing w:after="0" w:line="85" w:lineRule="exact"/>
        <w:rPr>
          <w:rFonts w:ascii="Times New Roman" w:cs="Times New Roman" w:eastAsia="Times New Roman" w:hAnsi="Times New Roman"/>
          <w:sz w:val="18"/>
          <w:szCs w:val="18"/>
          <w:color w:val="auto"/>
        </w:rPr>
      </w:pPr>
    </w:p>
    <w:p>
      <w:pPr>
        <w:jc w:val="both"/>
        <w:ind w:left="4" w:right="180" w:firstLine="419"/>
        <w:spacing w:after="0" w:line="261" w:lineRule="auto"/>
        <w:tabs>
          <w:tab w:leader="none" w:pos="6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issued or distributed any Ordinary Shares during the six-month period preceding the date hereof, including any sales pursuant to Rule 144A under, or Regulation D or S of, the Securities Act, other than shares issued pursuant to employee benefit plans, qualified stock option plans or other employee compensation plans, pursuant to outstanding options, rights or warrants or in connection with the Company’s initial public offering.</w:t>
      </w:r>
    </w:p>
    <w:p>
      <w:pPr>
        <w:spacing w:after="0" w:line="71" w:lineRule="exact"/>
        <w:rPr>
          <w:rFonts w:ascii="Times New Roman" w:cs="Times New Roman" w:eastAsia="Times New Roman" w:hAnsi="Times New Roman"/>
          <w:sz w:val="18"/>
          <w:szCs w:val="18"/>
          <w:color w:val="auto"/>
        </w:rPr>
      </w:pPr>
    </w:p>
    <w:p>
      <w:pPr>
        <w:ind w:left="4" w:right="60" w:firstLine="419"/>
        <w:spacing w:after="0" w:line="253" w:lineRule="auto"/>
        <w:tabs>
          <w:tab w:leader="none" w:pos="8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foreign income and other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IFRS have been created in the financial statements of the Company, or, except to the extent that such taxes have been accrued on the Company’s financial statements in accordance with IFRS), and no unpaid tax deficiency has been determined adversely to the Company or any of its subsidiaries which, singly or in the aggregate,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4"/>
          </w:cols>
          <w:pgMar w:left="876" w:top="270" w:right="459" w:bottom="1440" w:gutter="0" w:footer="0" w:header="0"/>
        </w:sectPr>
      </w:pPr>
    </w:p>
    <w:bookmarkStart w:id="20" w:name="page21"/>
    <w:bookmarkEnd w:id="20"/>
    <w:p>
      <w:pPr>
        <w:ind w:right="80" w:firstLine="419"/>
        <w:spacing w:after="0" w:line="266"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right="80" w:firstLine="419"/>
        <w:spacing w:after="0" w:line="258"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engaged in any Testing-the-Waters Communication or (ii) distributed any Written Testing-the-Waters Communications, in each case with respect to the offering of the ADSs contemplated hereby.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or Rule 163B of the Securities Act.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405 under the Securities Act.</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time of each sale of the ADSs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does not apply to any statements or omissions based upon information relating to any Underwriter furnished to the Company in writing by such Underwriter through the Representatives or on their behalf expressly for use therein, it being understood and agreed that the only such information is that described in Section 8(b).</w:t>
      </w:r>
    </w:p>
    <w:p>
      <w:pPr>
        <w:spacing w:after="0" w:line="83" w:lineRule="exact"/>
        <w:rPr>
          <w:rFonts w:ascii="Times New Roman" w:cs="Times New Roman" w:eastAsia="Times New Roman" w:hAnsi="Times New Roman"/>
          <w:sz w:val="18"/>
          <w:szCs w:val="18"/>
          <w:color w:val="auto"/>
        </w:rPr>
      </w:pPr>
    </w:p>
    <w:p>
      <w:pPr>
        <w:ind w:right="120" w:firstLine="419"/>
        <w:spacing w:after="0" w:line="258"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at all times and is currently in compliance in all material respects with all applicable statutes, rules, regulations and policies of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applicable foreign regulatory authorities, including the National Medical Product Administration of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the European Medicines Agency of the European Union and the Pharmaceutical and Medical Device Agency of Japan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and all applicable federal, state, local and foreign health care laws, including, without limitation:</w:t>
      </w:r>
    </w:p>
    <w:p>
      <w:pPr>
        <w:spacing w:after="0" w:line="88"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21" w:name="page22"/>
    <w:bookmarkEnd w:id="21"/>
    <w:p>
      <w:pPr>
        <w:ind w:left="960" w:hanging="53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Public Health Service Act and the regulations promulgated thereunder;</w:t>
      </w:r>
    </w:p>
    <w:p>
      <w:pPr>
        <w:spacing w:after="0" w:line="130"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Orphan Drug Act and the regulations promulgated thereunder;</w:t>
      </w:r>
    </w:p>
    <w:p>
      <w:pPr>
        <w:spacing w:after="0" w:line="130"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Drug Administration Law and the regulations promulgated thereunder;</w:t>
      </w:r>
    </w:p>
    <w:p>
      <w:pPr>
        <w:spacing w:after="0" w:line="130"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(42 U.S.C. Section 1320a-7b(b)), the Civil Monetary Penalties Law (42 U.S.C.</w:t>
      </w:r>
    </w:p>
    <w:p>
      <w:pPr>
        <w:spacing w:after="0" w:line="27" w:lineRule="exact"/>
        <w:rPr>
          <w:rFonts w:ascii="Times New Roman" w:cs="Times New Roman" w:eastAsia="Times New Roman" w:hAnsi="Times New Roman"/>
          <w:sz w:val="18"/>
          <w:szCs w:val="18"/>
          <w:color w:val="auto"/>
        </w:rPr>
      </w:pPr>
    </w:p>
    <w:p>
      <w:pPr>
        <w:ind w:left="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exclusions law (42 U.S.C. Section 1320a-7), the statutes and regulations of applicable government funded or sponsored healthcare programs, and the regulations promulgated pursuant to such statutes;</w:t>
      </w:r>
    </w:p>
    <w:p>
      <w:pPr>
        <w:spacing w:after="0" w:line="95" w:lineRule="exact"/>
        <w:rPr>
          <w:rFonts w:ascii="Times New Roman" w:cs="Times New Roman" w:eastAsia="Times New Roman" w:hAnsi="Times New Roman"/>
          <w:sz w:val="18"/>
          <w:szCs w:val="18"/>
          <w:color w:val="auto"/>
        </w:rPr>
      </w:pPr>
    </w:p>
    <w:p>
      <w:pPr>
        <w:ind w:left="960" w:right="80" w:hanging="533"/>
        <w:spacing w:after="0" w:line="261"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w:t>
      </w:r>
    </w:p>
    <w:p>
      <w:pPr>
        <w:spacing w:after="0" w:line="85" w:lineRule="exact"/>
        <w:rPr>
          <w:rFonts w:ascii="Times New Roman" w:cs="Times New Roman" w:eastAsia="Times New Roman" w:hAnsi="Times New Roman"/>
          <w:sz w:val="18"/>
          <w:szCs w:val="18"/>
          <w:color w:val="auto"/>
        </w:rPr>
      </w:pPr>
    </w:p>
    <w:p>
      <w:pPr>
        <w:ind w:left="960" w:right="60" w:hanging="533"/>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and the regulations promulgated thereunder;</w:t>
      </w:r>
    </w:p>
    <w:p>
      <w:pPr>
        <w:spacing w:after="0" w:line="67" w:lineRule="exact"/>
        <w:rPr>
          <w:rFonts w:ascii="Times New Roman" w:cs="Times New Roman" w:eastAsia="Times New Roman" w:hAnsi="Times New Roman"/>
          <w:sz w:val="18"/>
          <w:szCs w:val="18"/>
          <w:color w:val="auto"/>
        </w:rPr>
      </w:pPr>
    </w:p>
    <w:p>
      <w:pPr>
        <w:ind w:left="960" w:right="260" w:hanging="533"/>
        <w:spacing w:after="0" w:line="261"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local, state, federal, national, supranational and foreign laws, relating to the ownership, testing, development, manufacture, packaging, processing, use, distribution, marketing, labeling, promotion, sale, offer for sale, storage, import, export or disposal of any product under development, manufactured or distributed by the Company; (clauses (i) through (viii),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00"/>
          </w:cols>
          <w:pgMar w:left="1440" w:top="270" w:right="459" w:bottom="1440" w:gutter="0" w:footer="0" w:header="0"/>
        </w:sectPr>
      </w:pPr>
    </w:p>
    <w:bookmarkStart w:id="22" w:name="page23"/>
    <w:bookmarkEnd w:id="22"/>
    <w:p>
      <w:pPr>
        <w:jc w:val="both"/>
        <w:ind w:left="4" w:right="80" w:firstLine="419"/>
        <w:spacing w:after="0" w:line="270" w:lineRule="auto"/>
        <w:tabs>
          <w:tab w:leader="none" w:pos="71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studies, tests and preclinical and clinical trials conducted by or on behalf of or sponsored by the Company or in which the Company has participated, were, and if still pending are,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call into question the results described or referred to in the Registration Statement, the Time of Sale Prospectus and the Prospectus; (iv) the Company has provided the Underwriters with all substantive written notices, correspondence and summaries of all other communications provided to the Company or its subsidiaries from the Regulatory Authorities; and (v) the Company has not received any written notices, correspondence or other communications from any Regulatory Authority or any other governmental entity alleging or asserting material noncompliance with any applicable Health Care Law or requiring or threatening the termination,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pacing w:after="0" w:line="84" w:lineRule="exact"/>
        <w:rPr>
          <w:rFonts w:ascii="Times New Roman" w:cs="Times New Roman" w:eastAsia="Times New Roman" w:hAnsi="Times New Roman"/>
          <w:sz w:val="18"/>
          <w:szCs w:val="18"/>
          <w:color w:val="auto"/>
        </w:rPr>
      </w:pPr>
    </w:p>
    <w:p>
      <w:pPr>
        <w:ind w:left="4" w:firstLine="419"/>
        <w:spacing w:after="0" w:line="253" w:lineRule="auto"/>
        <w:tabs>
          <w:tab w:leader="none" w:pos="7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individually or in the aggregate, have a material adverse effect on the Company and its subsidiaries, taken as a whole,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23" w:name="page24"/>
    <w:bookmarkEnd w:id="23"/>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72" w:lineRule="exact"/>
        <w:rPr>
          <w:sz w:val="20"/>
          <w:szCs w:val="20"/>
          <w:color w:val="auto"/>
        </w:rPr>
      </w:pPr>
    </w:p>
    <w:p>
      <w:pPr>
        <w:ind w:right="80" w:firstLine="419"/>
        <w:spacing w:after="0" w:line="282" w:lineRule="auto"/>
        <w:tabs>
          <w:tab w:leader="none" w:pos="6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ind w:right="80" w:firstLine="419"/>
        <w:spacing w:after="0" w:line="256"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documentary, issuance, registration, transfer, withholding, capital gains, income or other taxes or duties are payable by or on behalf of the Underwriters, the Company or any of its subsidiaries in the Cayman Islands or the PRC or to any taxing authority thereof or therein in connection with (i) the execution, delivery or consummation of this Agreement, (ii) the creation, allotment and issuance of the Ordinary Shares represented by the ADSs, (iii) the deposit with the Depositary of the Ordinary Shares represented by the ADSs by the Company against issuance of ADRs evidencing the ADSs, (iv) the sale and delivery of the ADSs to the Underwriters or purchasers procured by the Underwriters, or (v) the resale and delivery of the ADSs by the Underwriters in the manner contemplated herein.</w:t>
      </w:r>
    </w:p>
    <w:p>
      <w:pPr>
        <w:spacing w:after="0" w:line="75" w:lineRule="exact"/>
        <w:rPr>
          <w:rFonts w:ascii="Times New Roman" w:cs="Times New Roman" w:eastAsia="Times New Roman" w:hAnsi="Times New Roman"/>
          <w:sz w:val="18"/>
          <w:szCs w:val="18"/>
          <w:color w:val="auto"/>
        </w:rPr>
      </w:pPr>
    </w:p>
    <w:p>
      <w:pPr>
        <w:ind w:right="400" w:firstLine="419"/>
        <w:spacing w:after="0" w:line="286"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not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for its taxable year ended December 31, 2025.</w:t>
      </w:r>
    </w:p>
    <w:p>
      <w:pPr>
        <w:spacing w:after="0" w:line="50" w:lineRule="exact"/>
        <w:rPr>
          <w:rFonts w:ascii="Times New Roman" w:cs="Times New Roman" w:eastAsia="Times New Roman" w:hAnsi="Times New Roman"/>
          <w:sz w:val="18"/>
          <w:szCs w:val="18"/>
          <w:color w:val="auto"/>
        </w:rPr>
      </w:pPr>
    </w:p>
    <w:p>
      <w:pPr>
        <w:ind w:left="840" w:hanging="421"/>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405 of the Securities Act.</w:t>
      </w:r>
    </w:p>
    <w:p>
      <w:pPr>
        <w:spacing w:after="0" w:line="117" w:lineRule="exact"/>
        <w:rPr>
          <w:rFonts w:ascii="Times New Roman" w:cs="Times New Roman" w:eastAsia="Times New Roman" w:hAnsi="Times New Roman"/>
          <w:sz w:val="18"/>
          <w:szCs w:val="18"/>
          <w:color w:val="auto"/>
        </w:rPr>
      </w:pPr>
    </w:p>
    <w:p>
      <w:pPr>
        <w:ind w:right="240" w:firstLine="419"/>
        <w:spacing w:after="0" w:line="256"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8"/>
          <w:szCs w:val="18"/>
          <w:b w:val="1"/>
          <w:bCs w:val="1"/>
          <w:color w:val="auto"/>
        </w:rPr>
        <w:t>Covered Activity</w:t>
      </w:r>
      <w:r>
        <w:rPr>
          <w:rFonts w:ascii="Times New Roman" w:cs="Times New Roman" w:eastAsia="Times New Roman" w:hAnsi="Times New Roman"/>
          <w:sz w:val="18"/>
          <w:szCs w:val="18"/>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Registration Statement for the purposes of complying with Section 10(a)(3) of the Securities Act and (ii) at the time the Company or any person acting on its behalf (within the meaning, for this clause only, of Rule 163(c)) made any offer relating to the ADSs in reliance on the exemption in Rule 163, the Company was or is (as the case may be) a Well- Known Seasoned Issuer. The Company agrees to pay the fees required by the Commission relating to the ADSs within the time required by Rule 456(b)(1) without regard to the proviso therein and otherwise in accordance with Rules 456(b) and 457(r).</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880" w:top="270" w:right="439" w:bottom="1440" w:gutter="0" w:footer="0" w:header="0"/>
        </w:sectPr>
      </w:pPr>
    </w:p>
    <w:bookmarkStart w:id="24" w:name="page25"/>
    <w:bookmarkEnd w:id="24"/>
    <w:p>
      <w:pPr>
        <w:ind w:left="440" w:firstLine="419"/>
        <w:spacing w:after="0" w:line="261" w:lineRule="auto"/>
        <w:tabs>
          <w:tab w:leader="none" w:pos="11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and has been no failure on the part of the Company and any of the Company’s directors or officers, in their capacities as such, to comply with any provision of the Sarbanes-Oxley Act of 2002, as amended, and the rules and regulations promulgated in connection thereunder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relating to loans and Sections 302 and 906 relating to certifications, that are then in effect and with which the Company is required to comply as of the effective date of this Agreement.</w:t>
      </w:r>
    </w:p>
    <w:p>
      <w:pPr>
        <w:spacing w:after="0" w:line="177" w:lineRule="exact"/>
        <w:rPr>
          <w:rFonts w:ascii="Times New Roman" w:cs="Times New Roman" w:eastAsia="Times New Roman" w:hAnsi="Times New Roman"/>
          <w:sz w:val="18"/>
          <w:szCs w:val="18"/>
          <w:color w:val="auto"/>
        </w:rPr>
      </w:pPr>
    </w:p>
    <w:p>
      <w:pPr>
        <w:jc w:val="both"/>
        <w:ind w:right="140" w:firstLine="436"/>
        <w:spacing w:after="0" w:line="290"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Agreements to Sell and Purchase. </w:t>
      </w:r>
      <w:r>
        <w:rPr>
          <w:rFonts w:ascii="Times New Roman" w:cs="Times New Roman" w:eastAsia="Times New Roman" w:hAnsi="Times New Roman"/>
          <w:sz w:val="17"/>
          <w:szCs w:val="17"/>
          <w:color w:val="auto"/>
        </w:rPr>
        <w:t>The Company hereby agrees to sell to the several Underwriters, and each Underwriter, upon the basis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representations and warranties herein contained, but subject to the terms and conditions hereinafter stated, agrees, severally and not jointly, to purchase from the Company the respective numbers of Firm ADSs set forth in Schedule I hereto opposite its name at $27.589 per ADS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ADSs, and the Underwriters shall have the right to purchase, severally and not jointly, up to 1,155,000 Additional ADSs at the Purchase Price, provided, however, that the amount paid by the Underwriters for any Additional ADSs shall be reduced by an amount per ADS equal to any dividends declared by the Company and payable on the Firm ADSs but not payable on such Additional ADSs. The Representatives may exercise this right on behalf of the Underwriters in whole or from time to time in part by giving written notice not later than 30 days after the date of this Agreement. Any exercise notice shall specify the number of Additional ADSs to be purchased by the Underwriters and the date on which such Additional ADSs are to be purchased. Each purchase date must be at least one business day after the written notice is given and may not be earlier than the closing date for the Firm ADSs or later than ten business days after the date of such notice. On each day, if any, that Additional ADSs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ADSs (subject to such adjustments to eliminate fractional shares as the Representatives may determine) that bears the same proportion to the total number of Additional ADSs to be purchased on such Option Closing Date as the number of Firm ADSs set forth in Schedule I hereto opposite the name of such Underwriter bears to the total number of Firm ADSs.</w:t>
      </w:r>
    </w:p>
    <w:p>
      <w:pPr>
        <w:spacing w:after="0" w:line="188" w:lineRule="exact"/>
        <w:rPr>
          <w:sz w:val="20"/>
          <w:szCs w:val="20"/>
          <w:color w:val="auto"/>
        </w:rPr>
      </w:pPr>
    </w:p>
    <w:p>
      <w:pPr>
        <w:ind w:right="60" w:firstLine="436"/>
        <w:spacing w:after="0" w:line="258"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ADSs as soon after the Registration Statement and this Agreement have become effective as in the Representatives’ judgment is advisable. The Company is further advised by the Representatives that the ADSs are to be offered to the public initially at $29.35 per ADS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$1.0566 a share under the Public Offering Price.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jc w:val="both"/>
        <w:ind w:firstLine="436"/>
        <w:spacing w:after="0" w:line="261"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and Delivery. </w:t>
      </w:r>
      <w:r>
        <w:rPr>
          <w:rFonts w:ascii="Times New Roman" w:cs="Times New Roman" w:eastAsia="Times New Roman" w:hAnsi="Times New Roman"/>
          <w:sz w:val="18"/>
          <w:szCs w:val="18"/>
          <w:color w:val="auto"/>
        </w:rPr>
        <w:t>Payment for the Firm ADSs shall be made to the Company in Federal or other funds immediately available in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against delivery of such Firm ADSs for the respective accounts of the several Underwriters at 10:00 a.m., New York City time, on June 23, 2026, or at such other time on the same or such other date, not later than June 23, 2026,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ADSs shall be made to the Company in Federal or other funds immediately available in New York City against delivery of such Additional ADSs for the respective accounts of the several Underwriters at 10:00 a.m., New York City time, on the date specified in the corresponding notice described in Section 2 or at such other time on the same or on such other date, in any event not later than, July 23, 2026, as shall be designated in writing by the Representatives.</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Firm ADSs and Additional ADSs shall be registered in such names and in such denominations as the Representatives shall request not later than one full business day prior to the Closing Date or the applicable Option Closing Date, as the case may be. The Firm ADSs and Additional ADSs shall be delivered to Morgan Stanley on the Closing Date or an Option Closing Date, as the case may be, for the respective accounts of the several Underwriters, with any transfer taxes payable in connection with the transfer of the ADSs to the Underwriters duly paid, against payment of the Purchase Price therefor.</w:t>
      </w:r>
    </w:p>
    <w:p>
      <w:pPr>
        <w:spacing w:after="0" w:line="181" w:lineRule="exact"/>
        <w:rPr>
          <w:sz w:val="20"/>
          <w:szCs w:val="20"/>
          <w:color w:val="auto"/>
        </w:rPr>
      </w:pPr>
    </w:p>
    <w:p>
      <w:pPr>
        <w:ind w:firstLine="436"/>
        <w:spacing w:after="0" w:line="267"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ADSs to the Underwriters and the several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Underwriters to purchase and pay for the ADSs on the Closing Date are subject to the condition that the Registration Statement shall have become effective not later than 4:00 P.M. (New York City time) on the date hereof.</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117" w:lineRule="exact"/>
        <w:rPr>
          <w:sz w:val="20"/>
          <w:szCs w:val="20"/>
          <w:color w:val="auto"/>
        </w:rPr>
      </w:pPr>
    </w:p>
    <w:p>
      <w:pPr>
        <w:ind w:left="1100" w:hanging="24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30" w:lineRule="exact"/>
        <w:rPr>
          <w:rFonts w:ascii="Times New Roman" w:cs="Times New Roman" w:eastAsia="Times New Roman" w:hAnsi="Times New Roman"/>
          <w:sz w:val="18"/>
          <w:szCs w:val="18"/>
          <w:color w:val="auto"/>
        </w:rPr>
      </w:pPr>
    </w:p>
    <w:p>
      <w:pPr>
        <w:ind w:left="1960" w:hanging="533"/>
        <w:spacing w:after="0" w:line="258"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 and no notice, order or communication from the CSRC or any other PRC governmental or regulatory authority shall have been received that would prohibit, suspend, materially delay or materially adversely affect the offering and sale of the ADSs or the preparation or submission of the Post-Closing CSRC Filing Report;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26" w:name="page27"/>
    <w:bookmarkEnd w:id="26"/>
    <w:p>
      <w:pPr>
        <w:ind w:left="1520" w:hanging="533"/>
        <w:spacing w:after="0" w:line="258" w:lineRule="auto"/>
        <w:tabs>
          <w:tab w:leader="none" w:pos="15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ADSs on the terms and in the manner contemplated in the Time of Sale Prospectus.</w:t>
      </w:r>
    </w:p>
    <w:p>
      <w:pPr>
        <w:spacing w:after="0" w:line="75"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officer signing and delivering such certificate may rely upon the best of his or her knowledge as to proceedings threatened.</w:t>
      </w:r>
    </w:p>
    <w:p>
      <w:pPr>
        <w:spacing w:after="0" w:line="75" w:lineRule="exact"/>
        <w:rPr>
          <w:rFonts w:ascii="Times New Roman" w:cs="Times New Roman" w:eastAsia="Times New Roman" w:hAnsi="Times New Roman"/>
          <w:sz w:val="18"/>
          <w:szCs w:val="18"/>
          <w:color w:val="auto"/>
        </w:rPr>
      </w:pPr>
    </w:p>
    <w:p>
      <w:pPr>
        <w:ind w:right="220" w:firstLine="419"/>
        <w:spacing w:after="0" w:line="282" w:lineRule="auto"/>
        <w:tabs>
          <w:tab w:leader="none" w:pos="6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Cooley LLP, outside counsel for the Company,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right="700" w:firstLine="419"/>
        <w:spacing w:after="0" w:line="282"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Jones Day, outside intellectual property counsel for the Company,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Fish &amp; Richardson P.C., outside intellectual property counsel for the Company,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right="220" w:firstLine="419"/>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Murgitroyd &amp; Company Limited, outside intellectual property counsel for the Company,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Maples and Calder (Hong Kong) LLP, Cayman Islands counsel for the Company, dated the Closing Date, in form and substance reasonably satisfactory to the Underwriters.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7" w:name="page28"/>
    <w:bookmarkEnd w:id="27"/>
    <w:p>
      <w:pPr>
        <w:ind w:left="440" w:right="560" w:firstLine="419"/>
        <w:spacing w:after="0" w:line="282"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and negative assurance letter of Wilson Sonsini Goodrich &amp; Rosati, P.C., counsel for the Underwriters, dated the Closing Date, in form and substance satisfactory to the Underwriters.</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Jingtian &amp; Gongcheng, People’s Republic of China counsel for the Underwriters,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Norton Rose Fulbright US LLP, counsel for the Depositary, dated the Closing Date, in form and substance reasonably satisfactory to the Underwriters.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5(h) above, Cooley LLP and Wilson Sonsini Goodrich &amp; Rosati, P.C.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opinions of Cooley LLP, Jones Day, Fish &amp; Richardson P.C., Murgitroyd &amp; Company Limited, Maples and Calder (Hong Kong) LLP, Wilson Sonsini Goodrich &amp; Rosati, P.C., Jingtian &amp; Gongcheng, and Norton Rose Fulbright US LLP described in Section 5(c) , Section 5(d), Section 5(e), Section 5(f), Section 5(g), Section 5(h), Section 5(i), and Section 5(j) above, respectively, shall be rendered to the Underwriters at the request of the Company and shall so state therein.</w:t>
      </w:r>
    </w:p>
    <w:p>
      <w:pPr>
        <w:spacing w:after="0" w:line="72" w:lineRule="exact"/>
        <w:rPr>
          <w:sz w:val="20"/>
          <w:szCs w:val="20"/>
          <w:color w:val="auto"/>
        </w:rPr>
      </w:pPr>
    </w:p>
    <w:p>
      <w:pPr>
        <w:ind w:left="440" w:right="60" w:firstLine="419"/>
        <w:spacing w:after="0" w:line="258"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0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the Closing Date, a certificate dated the date hereof or the Closing Date, as the case may be, and signed by the chief financial officer of the Company, in his or her capacity as such, with respect to certain financial and accounting information in the Registration Statement, the Time of Sale Prospectus and the Prospectus, in form and substance reasonably satisfactory to the Representatives.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28" w:name="page29"/>
    <w:bookmarkEnd w:id="28"/>
    <w:p>
      <w:pPr>
        <w:ind w:right="100" w:firstLine="419"/>
        <w:spacing w:after="0" w:line="289" w:lineRule="auto"/>
        <w:tabs>
          <w:tab w:leader="none" w:pos="72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“lock-up” agreements, each substantially in the form of Exhibit A hereto, between the Representatives and certain shareholders, officers and directors of the Company relating to restrictions on sales and certain other dispositions of Ordinary Shares or certain other securities, delivered to the Representatives on or before the date hereof (the “</w:t>
      </w:r>
      <w:r>
        <w:rPr>
          <w:rFonts w:ascii="Times New Roman" w:cs="Times New Roman" w:eastAsia="Times New Roman" w:hAnsi="Times New Roman"/>
          <w:sz w:val="17"/>
          <w:szCs w:val="17"/>
          <w:b w:val="1"/>
          <w:bCs w:val="1"/>
          <w:color w:val="auto"/>
        </w:rPr>
        <w:t>Lock-up Agreements</w:t>
      </w:r>
      <w:r>
        <w:rPr>
          <w:rFonts w:ascii="Times New Roman" w:cs="Times New Roman" w:eastAsia="Times New Roman" w:hAnsi="Times New Roman"/>
          <w:sz w:val="17"/>
          <w:szCs w:val="17"/>
          <w:color w:val="auto"/>
        </w:rPr>
        <w:t>”), shall be in full force and effect on the Closing Date.</w:t>
      </w:r>
    </w:p>
    <w:p>
      <w:pPr>
        <w:spacing w:after="0" w:line="49" w:lineRule="exact"/>
        <w:rPr>
          <w:rFonts w:ascii="Times New Roman" w:cs="Times New Roman" w:eastAsia="Times New Roman" w:hAnsi="Times New Roman"/>
          <w:sz w:val="17"/>
          <w:szCs w:val="17"/>
          <w:color w:val="auto"/>
        </w:rPr>
      </w:pPr>
    </w:p>
    <w:p>
      <w:pPr>
        <w:ind w:firstLine="419"/>
        <w:spacing w:after="0" w:line="282"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ADSs hereunder are subject to the delivery to the Underwriters on the applicable Option Closing Date of the following:</w:t>
      </w:r>
    </w:p>
    <w:p>
      <w:pPr>
        <w:spacing w:after="0" w:line="67" w:lineRule="exact"/>
        <w:rPr>
          <w:rFonts w:ascii="Times New Roman" w:cs="Times New Roman" w:eastAsia="Times New Roman" w:hAnsi="Times New Roman"/>
          <w:sz w:val="18"/>
          <w:szCs w:val="18"/>
          <w:color w:val="auto"/>
        </w:rPr>
      </w:pPr>
    </w:p>
    <w:p>
      <w:pPr>
        <w:ind w:left="1520" w:right="140" w:hanging="533"/>
        <w:spacing w:after="0" w:line="266" w:lineRule="auto"/>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81" w:lineRule="exact"/>
        <w:rPr>
          <w:rFonts w:ascii="Times New Roman" w:cs="Times New Roman" w:eastAsia="Times New Roman" w:hAnsi="Times New Roman"/>
          <w:sz w:val="18"/>
          <w:szCs w:val="18"/>
          <w:color w:val="auto"/>
        </w:rPr>
      </w:pPr>
    </w:p>
    <w:p>
      <w:pPr>
        <w:ind w:left="1520" w:right="20" w:hanging="533"/>
        <w:spacing w:after="0" w:line="266" w:lineRule="auto"/>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Cooley LLP, outside counsel for the Company, dated the Option Closing Date, relating to the Additional ADSs to be purchased on such Option Closing Date and otherwise to the same effect as the opinion required by Section 5(c) hereof;</w:t>
      </w:r>
    </w:p>
    <w:p>
      <w:pPr>
        <w:spacing w:after="0" w:line="81" w:lineRule="exact"/>
        <w:rPr>
          <w:rFonts w:ascii="Times New Roman" w:cs="Times New Roman" w:eastAsia="Times New Roman" w:hAnsi="Times New Roman"/>
          <w:sz w:val="18"/>
          <w:szCs w:val="18"/>
          <w:color w:val="auto"/>
        </w:rPr>
      </w:pPr>
    </w:p>
    <w:p>
      <w:pPr>
        <w:ind w:left="1520" w:right="160" w:hanging="533"/>
        <w:spacing w:after="0" w:line="266" w:lineRule="auto"/>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Jones Day, outside intellectual property counsel for the Company, dated the Option Closing Date, relating to the Additional ADSs to be purchased on such Option Closing Date and otherwise to the same effect as the opinion required by Section 5(d) hereof.</w:t>
      </w:r>
    </w:p>
    <w:p>
      <w:pPr>
        <w:spacing w:after="0" w:line="81" w:lineRule="exact"/>
        <w:rPr>
          <w:rFonts w:ascii="Times New Roman" w:cs="Times New Roman" w:eastAsia="Times New Roman" w:hAnsi="Times New Roman"/>
          <w:sz w:val="18"/>
          <w:szCs w:val="18"/>
          <w:color w:val="auto"/>
        </w:rPr>
      </w:pPr>
    </w:p>
    <w:p>
      <w:pPr>
        <w:jc w:val="both"/>
        <w:ind w:left="1520" w:right="20" w:hanging="533"/>
        <w:spacing w:after="0" w:line="266" w:lineRule="auto"/>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Fish &amp; Richardson P.C., outside intellectual property counsel for the Company, dated the Option Closing Date, relating to the Additional ADSs to be purchased on such Option Closing Date and otherwise to the same effect as the opinion required by Section 5(e) hereof.</w:t>
      </w:r>
    </w:p>
    <w:p>
      <w:pPr>
        <w:spacing w:after="0" w:line="81" w:lineRule="exact"/>
        <w:rPr>
          <w:rFonts w:ascii="Times New Roman" w:cs="Times New Roman" w:eastAsia="Times New Roman" w:hAnsi="Times New Roman"/>
          <w:sz w:val="18"/>
          <w:szCs w:val="18"/>
          <w:color w:val="auto"/>
        </w:rPr>
      </w:pPr>
    </w:p>
    <w:p>
      <w:pPr>
        <w:ind w:left="1520" w:right="40" w:hanging="533"/>
        <w:spacing w:after="0" w:line="266" w:lineRule="auto"/>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Murgitroyd &amp; Company Limited, outside intellectual property counsel for the Company, dated the Option Closing Date, relating to the Additional ADSs to be purchased on such Option Closing Date and otherwise to the same effect as the opinion required by Section 5(f) hereof.</w:t>
      </w:r>
    </w:p>
    <w:p>
      <w:pPr>
        <w:spacing w:after="0" w:line="81" w:lineRule="exact"/>
        <w:rPr>
          <w:rFonts w:ascii="Times New Roman" w:cs="Times New Roman" w:eastAsia="Times New Roman" w:hAnsi="Times New Roman"/>
          <w:sz w:val="18"/>
          <w:szCs w:val="18"/>
          <w:color w:val="auto"/>
        </w:rPr>
      </w:pPr>
    </w:p>
    <w:p>
      <w:pPr>
        <w:ind w:left="1520" w:right="180" w:hanging="533"/>
        <w:spacing w:after="0" w:line="266" w:lineRule="auto"/>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Maples and Calder (Hong Kong) LLP, Cayman Islands counsel for the Company, dated the Option Closing Date, relating to the Additional ADSs to be purchased on such Option Closing Date and otherwise to the same effect as the opinion required by Section 5(g) hereof;</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9" w:name="page30"/>
    <w:bookmarkEnd w:id="29"/>
    <w:p>
      <w:pPr>
        <w:ind w:left="1520" w:right="80" w:hanging="533"/>
        <w:spacing w:after="0" w:line="266" w:lineRule="auto"/>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opinion and negative assurance letter of Wilson Sonsini Goodrich &amp; Rosati, P.C., counsel for the Underwriters, dated the Option Closing Date, relating to the Additional ADSs to be purchased on such Option Closing Date and otherwise to the same effect as the opinion required by Section 5(h) hereof;</w:t>
      </w:r>
    </w:p>
    <w:p>
      <w:pPr>
        <w:spacing w:after="0" w:line="81" w:lineRule="exact"/>
        <w:rPr>
          <w:rFonts w:ascii="Times New Roman" w:cs="Times New Roman" w:eastAsia="Times New Roman" w:hAnsi="Times New Roman"/>
          <w:sz w:val="18"/>
          <w:szCs w:val="18"/>
          <w:color w:val="auto"/>
        </w:rPr>
      </w:pPr>
    </w:p>
    <w:p>
      <w:pPr>
        <w:ind w:left="1520" w:right="140" w:hanging="533"/>
        <w:spacing w:after="0" w:line="266" w:lineRule="auto"/>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Jingtian &amp; Gongcheng, People’s Republic of China counsel for the Underwriters, dated the Option Closing Date, relating to the Additional ADSs to be purchased on such Option Closing Date and otherwise to the same effect as the opinion required by Section 5(i) hereof;</w:t>
      </w:r>
    </w:p>
    <w:p>
      <w:pPr>
        <w:spacing w:after="0" w:line="81" w:lineRule="exact"/>
        <w:rPr>
          <w:rFonts w:ascii="Times New Roman" w:cs="Times New Roman" w:eastAsia="Times New Roman" w:hAnsi="Times New Roman"/>
          <w:sz w:val="18"/>
          <w:szCs w:val="18"/>
          <w:color w:val="auto"/>
        </w:rPr>
      </w:pPr>
    </w:p>
    <w:p>
      <w:pPr>
        <w:ind w:left="1520" w:right="160" w:hanging="533"/>
        <w:spacing w:after="0" w:line="266" w:lineRule="auto"/>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Norton Rose Fulbright US LLP, counsel for the Depositary, dated the Option Closing Date, relating to the Additional ADSs to be purchased on such Option Closing Date and otherwise to the same effect as the opinion required by Section 5(j) hereof;</w:t>
      </w:r>
    </w:p>
    <w:p>
      <w:pPr>
        <w:spacing w:after="0" w:line="81" w:lineRule="exact"/>
        <w:rPr>
          <w:rFonts w:ascii="Times New Roman" w:cs="Times New Roman" w:eastAsia="Times New Roman" w:hAnsi="Times New Roman"/>
          <w:sz w:val="18"/>
          <w:szCs w:val="18"/>
          <w:color w:val="auto"/>
        </w:rPr>
      </w:pPr>
    </w:p>
    <w:p>
      <w:pPr>
        <w:ind w:left="1520" w:right="20" w:hanging="533"/>
        <w:spacing w:after="0" w:line="266" w:lineRule="auto"/>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the chief financial officer of the Company, in his or her capacity as such, substantially in the same form and substance as the certificate furnished to the Underwriters pursuant to Section 5(l) above; and</w:t>
      </w:r>
    </w:p>
    <w:p>
      <w:pPr>
        <w:spacing w:after="0" w:line="81" w:lineRule="exact"/>
        <w:rPr>
          <w:rFonts w:ascii="Times New Roman" w:cs="Times New Roman" w:eastAsia="Times New Roman" w:hAnsi="Times New Roman"/>
          <w:sz w:val="18"/>
          <w:szCs w:val="18"/>
          <w:color w:val="auto"/>
        </w:rPr>
      </w:pPr>
    </w:p>
    <w:p>
      <w:pPr>
        <w:ind w:left="1520" w:right="60" w:hanging="533"/>
        <w:spacing w:after="0" w:line="266" w:lineRule="auto"/>
        <w:tabs>
          <w:tab w:leader="none" w:pos="15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including with respect to the good standing of the Company and its subsidiaries, the due authorization and issuance of the Additional ADSs to be sold on such Option Closing Date and other matters related to the issuance of such Additional ADSs.</w:t>
      </w:r>
    </w:p>
    <w:p>
      <w:pPr>
        <w:spacing w:after="0" w:line="67"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shall have executed and delivered the Deposit Agreement, and the Deposit Agreement shall be in full force and effect on the Closing Date and each Option Closing Date. The Company and the Depositary shall have taken all actions necessary to permit the deposit of the Ordinary Shares and the issuance of the ADSs representing such Ordinary Shares in accordance with the Deposit Agreement.</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furnished or caused to be furnished to the Representatives a certificate of one of its authorized officers satisfactory to the Representatives with respect to the deposit with it of the Ordinary Shares against issuance of the ADSs, the execution, issuance, countersignature and delivery of the ADSs pursuant to the Deposit Agreement and such other matters related thereto as the Representatives may reasonably request.</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20"/>
          </w:cols>
          <w:pgMar w:left="880" w:top="270" w:right="499" w:bottom="1440" w:gutter="0" w:footer="0" w:header="0"/>
        </w:sectPr>
      </w:pPr>
    </w:p>
    <w:bookmarkStart w:id="30" w:name="page31"/>
    <w:bookmarkEnd w:id="30"/>
    <w:p>
      <w:pPr>
        <w:ind w:left="4" w:right="520" w:firstLine="419"/>
        <w:spacing w:after="0" w:line="282"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Firm ADSs and Additional ADSs, if any, shall have been approved for listing on the Nasdaq Global Select Market, subject to official notice of issuance.</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Representatives, without charge, four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79"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7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3"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7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ADSs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4"/>
          </w:cols>
          <w:pgMar w:left="876" w:top="270" w:right="479" w:bottom="1440" w:gutter="0" w:footer="0" w:header="0"/>
        </w:sectPr>
      </w:pPr>
    </w:p>
    <w:bookmarkStart w:id="31" w:name="page32"/>
    <w:bookmarkEnd w:id="31"/>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right="100" w:firstLine="419"/>
        <w:spacing w:after="0" w:line="253"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ADSs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ADSs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endeavor to qualify the ADSs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ADSs, or taxation in any jurisdiction where it is not now so subject.</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Underwriters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80"/>
          </w:cols>
          <w:pgMar w:left="880" w:top="270" w:right="439" w:bottom="1440" w:gutter="0" w:footer="0" w:header="0"/>
        </w:sectPr>
      </w:pPr>
    </w:p>
    <w:bookmarkStart w:id="32" w:name="page33"/>
    <w:bookmarkEnd w:id="32"/>
    <w:p>
      <w:pPr>
        <w:ind w:left="4" w:right="40" w:firstLine="419"/>
        <w:spacing w:after="0" w:line="268" w:lineRule="auto"/>
        <w:tabs>
          <w:tab w:leader="none" w:pos="64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ADSs and Ordinary Shares represented thereby under the Securities Act and all other fees or expenses in connection with the preparation and filing of the Registration Statement, the ADS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w:t>
      </w:r>
    </w:p>
    <w:p>
      <w:pPr>
        <w:spacing w:after="0" w:line="2" w:lineRule="exact"/>
        <w:rPr>
          <w:rFonts w:ascii="Times New Roman" w:cs="Times New Roman" w:eastAsia="Times New Roman" w:hAnsi="Times New Roman"/>
          <w:sz w:val="17"/>
          <w:szCs w:val="17"/>
          <w:color w:val="auto"/>
        </w:rPr>
      </w:pPr>
    </w:p>
    <w:p>
      <w:pPr>
        <w:ind w:left="4" w:hanging="4"/>
        <w:spacing w:after="0" w:line="250" w:lineRule="auto"/>
        <w:tabs>
          <w:tab w:leader="none" w:pos="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related to the transfer and delivery of the ADSs and Ordinary Shares represented thereby to the Underwriters, including any transfer or other taxes payable thereon, (iii) the reasonable and documented cost of printing or producing any Blue Sky or Legal Investment memorandum in connection with the offer and sale of the ADSs and Ordinary Shares represented thereby under state securities laws and all expenses in connection with the qualification of the ADSs and Ordinary Shares represented thereby for offer and sale under state securities laws as provided in Section 6(g) hereof, including filing fees and the reasonable and documented fees and disbursements of counsel for the Underwriters in connection with such qualification and in connection with the Blue Sky or Legal Investment memorandum, (iv) all filing fees in respect of the reasonable fees and disbursements of counsel to the Underwriters incurred in connection with the review and qualification of the offering of the ADSs and Ordinary Shares represented thereby by the Financial Industry Regulatory Authority (provided that the amount payable by the Company with respect to the fees and disbursements of counsel for the Underwriters incurred pursuant to subsections (iii) and (iv) of this Section 6(i) shall not exceed $20,000 in the aggregate), (v) all fees and expenses incident to listing the ADSs on the Nasdaq Global Select Market,</w:t>
      </w:r>
    </w:p>
    <w:p>
      <w:pPr>
        <w:spacing w:after="0" w:line="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printing certificates representing the Ordinary Shares, (vii) the costs and charges of any transfer agent, registrar or depositary,</w:t>
      </w:r>
    </w:p>
    <w:p>
      <w:pPr>
        <w:spacing w:after="0" w:line="9" w:lineRule="exact"/>
        <w:rPr>
          <w:rFonts w:ascii="Times New Roman" w:cs="Times New Roman" w:eastAsia="Times New Roman" w:hAnsi="Times New Roman"/>
          <w:sz w:val="18"/>
          <w:szCs w:val="18"/>
          <w:color w:val="auto"/>
        </w:rPr>
      </w:pPr>
    </w:p>
    <w:p>
      <w:pPr>
        <w:ind w:left="4" w:hanging="4"/>
        <w:spacing w:after="0" w:line="252" w:lineRule="auto"/>
        <w:tabs>
          <w:tab w:leader="none" w:pos="4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investor presentations on any “road show” undertaken in connection with the marketing of the offering of the ADSs,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fifty percent (50%) of the cost of any aircraft chartered in connection with the road show (the remaining fifty percent (50%) of the cost of such aircraft to be paid by the Underwriters), (ix) the document production charges and expenses associated with printing this Agreement and (x) all other</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4"/>
          </w:cols>
          <w:pgMar w:left="876" w:top="270" w:right="459" w:bottom="1440" w:gutter="0" w:footer="0" w:header="0"/>
        </w:sectPr>
      </w:pPr>
    </w:p>
    <w:bookmarkStart w:id="33" w:name="page34"/>
    <w:bookmarkEnd w:id="33"/>
    <w:p>
      <w:pPr>
        <w:ind w:right="10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ADSs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ADSs, other than the cost of aircraft chartered in connection with the road show, for which the Underwriters agree to pay for the other fifty percent (50%) not paid for by the Company, as described above.</w:t>
      </w:r>
    </w:p>
    <w:p>
      <w:pPr>
        <w:spacing w:after="0" w:line="63" w:lineRule="exact"/>
        <w:rPr>
          <w:sz w:val="20"/>
          <w:szCs w:val="20"/>
          <w:color w:val="auto"/>
        </w:rPr>
      </w:pPr>
    </w:p>
    <w:p>
      <w:pPr>
        <w:ind w:right="160" w:firstLine="419"/>
        <w:spacing w:after="0" w:line="258"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and hold the Underwriters harmless against, any stamp, issue, registration, documentary, sales, transfer, income, capital gains or other similar taxes or duties imposed under the laws of the Cayman Islands or the PRC or any political sub-division or taxing authority thereof or therein that is payable in connection with (i) the execution, delivery, consummation or enforcement of this Agreement, (ii) the creation, allotment and issuance of the ADSs (iii) the sale and delivery of the ADSs to the Underwriters or purchasers procured by the Underwriters, or (iv) the resale and delivery of the ADSs by the Underwriters in the manner contemplated herein.</w:t>
      </w:r>
    </w:p>
    <w:p>
      <w:pPr>
        <w:spacing w:after="0" w:line="75" w:lineRule="exact"/>
        <w:rPr>
          <w:rFonts w:ascii="Times New Roman" w:cs="Times New Roman" w:eastAsia="Times New Roman" w:hAnsi="Times New Roman"/>
          <w:sz w:val="18"/>
          <w:szCs w:val="18"/>
          <w:color w:val="auto"/>
        </w:rPr>
      </w:pPr>
    </w:p>
    <w:p>
      <w:pPr>
        <w:ind w:right="200" w:firstLine="419"/>
        <w:spacing w:after="0" w:line="261"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by the Company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71" w:lineRule="exact"/>
        <w:rPr>
          <w:rFonts w:ascii="Times New Roman" w:cs="Times New Roman" w:eastAsia="Times New Roman" w:hAnsi="Times New Roman"/>
          <w:sz w:val="18"/>
          <w:szCs w:val="18"/>
          <w:color w:val="auto"/>
        </w:rPr>
      </w:pPr>
    </w:p>
    <w:p>
      <w:pPr>
        <w:jc w:val="both"/>
        <w:ind w:right="120" w:firstLine="419"/>
        <w:spacing w:after="0" w:line="266"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to an Underwriter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w:t>
      </w:r>
    </w:p>
    <w:p>
      <w:pPr>
        <w:spacing w:after="0" w:line="6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terms of the Deposit Agreement so that the ADSs will be issued by the Depositary and delivered to each</w:t>
      </w:r>
    </w:p>
    <w:p>
      <w:pPr>
        <w:spacing w:after="0" w:line="27"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participant account in the Depository Trust Company, pursuant to this Agreement on the Closing Date and each applicable Option Closing Date.</w:t>
      </w:r>
    </w:p>
    <w:p>
      <w:pPr>
        <w:spacing w:after="0" w:line="73"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PRC Overseas Investment and Listing Regulations, and to use its reasonable efforts to cause its shareholders that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The Company will use reasonable commercial efforts to rectify or cure any non-compliance, and maintain continuing compliance with PRC laws and regulations in all material respects.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4" w:name="page35"/>
    <w:bookmarkEnd w:id="34"/>
    <w:p>
      <w:pPr>
        <w:ind w:left="440" w:right="40" w:firstLine="419"/>
        <w:spacing w:after="0" w:line="253"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complete a Post-Closing CSRC Filing Report with the CSRC to be made within three (3) business days in the PRC after the Closing Date in accordance with the CSRC Filing Rules, and to furnish the Underwriters with a copy of the Post-Closing CSRC Filing Report. The Company shall promptly furnish the Underwriters with copies of any written comments, inquiries or other communications received from the CSRC in connection with such filing and any responses thereto. The Company shall make any amendment, supplement, follow-up filing or response required by the CSRC Rules or reasonably requested by the CSRC in connection with the Post-Closing CSRC Filing Report or any other CSRC Filing. If any material information is required to be reported to the CSRC or any other PRC governmental or regulatory authority pursuant to the CSRC Rules in connection with the offering and sale of the ADSs or the transactions contemplated hereby, the Company shall promptly make such report in accordance with applicable law and, to the extent permitted by applicable law, notify the Representatives of such material information. The Company shall comply with the CSRC Archive Rules in connection with the preparation, submission, maintenance and retention of any CSRC Filing and any information, documents or materials furnished to the Underwriters or their counsel in connection with the offering and sale of the ADSs.</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Morgan Stanley Asia Limited and Jefferies LLC on behalf of the Underwriters, it will not, and will not publicly disclose an intention to, during the period ending 60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Ordinary Shares, ADSs or any securities convertible into or exercisable or exchangeable for Ordinary Shares or ADSs or (2) enter into any swap or other arrangement that transfers to another, in whole or in part, any of the economic consequences of ownership of the Ordinary Shares or ADSs, whether any such transaction described in clause (1) or (2) above is to be settled by delivery of Ordinary Shares, ADSs or such other securities, in cash or otherwise or (3) file any registration statement with the Commission relating to the offering of any Ordinary Shares, ADSs or any securities convertible into or exercisable or exchangeable for Ordinary Shares or ADSs.</w:t>
      </w:r>
    </w:p>
    <w:p>
      <w:pPr>
        <w:spacing w:after="0" w:line="18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restrictions contained in the preceding paragraph shall not apply to (A) the Ordinary Shares represented by ADSs to be sold hereunder, (B) the issuance by the Company of Ordinary Shares or ADSs upon the exercise of an option or warrant or the conversion of a security outstanding on the date hereof as described in the Registration Statement, the Time of Sale Prospectus and Prospectus, (C) the grant of options,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35" w:name="page36"/>
    <w:bookmarkEnd w:id="35"/>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restricted stock units or any other type of equity award described in the Registration Statement, the Time of Sale Prospectus and Prospectus, or the issuance of Ordinary Shares or ADSs by the Company (whether upon the exercise of stock options or otherwise) to employees, officers, directors, advisors or consultants of the Company pursuant to employee benefit plans in effect on the date hereof and described in the Registration Statement, the Time of Sale Prospectus and the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recipient of Ordinary Shares, ADSs or any securities convertible into or exercisable or exchangeable for Ordinary Shares pursuant to this clause (C) shall execute a lock-up agreement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with respect to the remaining portion of the Restricted Period, (D) the filing by the Company of a registration statement on Form S-8 relating to the issuance, vesting, exercise or settlement of equity awards granted or to be granted pursuant to any employee benefit plan in effect on the date hereof and described in the Registration Statement, the Time of Sale Prospectus and Prospectus, (E) facilitating the establishment of a trading plan on behalf of a shareholder, officer or director of the Company pursuant to Rule 10b5-1 under the Exchange Act for the transfer of Ordinary Shares or ADSs,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Ordinary Shares or ADSs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or ADSs may be made under such plan during the Restricted Period or</w:t>
      </w:r>
    </w:p>
    <w:p>
      <w:pPr>
        <w:spacing w:after="0" w:line="1" w:lineRule="exact"/>
        <w:rPr>
          <w:sz w:val="20"/>
          <w:szCs w:val="20"/>
          <w:color w:val="auto"/>
        </w:rPr>
      </w:pPr>
    </w:p>
    <w:p>
      <w:pPr>
        <w:ind w:left="4" w:right="20" w:hanging="4"/>
        <w:spacing w:after="0" w:line="251"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issuance of or entry into an agreement to sell or issue Ordinary Shares, ADSs or any securities convertible into or exercisable or exchangeable for Ordinary Shares or ADSs in connection with one or more mergers; acquisitions of securities, businesses, property or other assets, products or technologies; joint ventures; commercial relationships or other strategic corporate transactions or alliances;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amounts of Ordinary Shares, ADSs or any securities convertible into or exercisable or exchangeable for Ordinary Shares or ADSs (on an as-converted, as-exercised or as-exchanged basis) that the Company may sell or issue or agree to sell or issue pursuant to this paragraph shall not exceed 10% of the total number of Ordinary Shares or ADSs of the Company issued and outstanding immediately following the completion of the transactions contemplated by this Agreement determined on a fully-diluted basis,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recipient of Ordinary Shares, ADSs or any securities convertible into or exercisable or exchangeable for Ordinary Shares or ADSs pursuant to this clause (F) shall execute a lock-up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with respect to the remaining portion of the Restricted Period.</w:t>
      </w:r>
    </w:p>
    <w:p>
      <w:pPr>
        <w:spacing w:after="0" w:line="191" w:lineRule="exact"/>
        <w:rPr>
          <w:rFonts w:ascii="Times New Roman" w:cs="Times New Roman" w:eastAsia="Times New Roman" w:hAnsi="Times New Roman"/>
          <w:sz w:val="18"/>
          <w:szCs w:val="18"/>
          <w:color w:val="auto"/>
        </w:rPr>
      </w:pPr>
    </w:p>
    <w:p>
      <w:pPr>
        <w:ind w:left="4" w:right="240" w:firstLine="436"/>
        <w:spacing w:after="0" w:line="267" w:lineRule="auto"/>
        <w:tabs>
          <w:tab w:leader="none" w:pos="6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of the Securities Act a free writing prospectus prepared by or on behalf of such Underwriter that otherwise would not be required to be filed by the Company thereunder, but for the action of the Underwriter.</w:t>
      </w:r>
    </w:p>
    <w:p>
      <w:pPr>
        <w:spacing w:after="0" w:line="175"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Each Underwriter agrees, severally and not jointly, to promptly furnish such information and documents regarding such Underwriter and its participation in the offering, and take such other actions and otherwise assist the Company, as the Company or the Underwriter’s PRC counsel may reasonably request for the timely preparation and submission of the Post-Closing CSRC Filing Report under the CSRC Filing Rules.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6" w:name="page37"/>
    <w:bookmarkEnd w:id="36"/>
    <w:p>
      <w:pPr>
        <w:ind w:left="184" w:hanging="184"/>
        <w:spacing w:after="0"/>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and Contribution.</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each person, if any, who controls any Underwriter within the meaning of either Section 15 of the Securities Act or Section 20 of the Exchange Act and each director, officer, employee, agent and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any CSRC Filing or any amendment or supplement thereto, or any Testing-the-Waters Communication, or arise out of, or are based upon, any omission or alleged omission to state therein a material fact required to be stated therein or necessary to make the statements therein not misleading, , or any failure by the Company or any of its subsidiaries to comply with the CSRC Rules in connection with the offering and sale of the ADSs or the transactions contemplated hereby, including any failure to timely submit the Post-Closing CSRC Filing Report,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The Company agrees and confirms that references to “affiliates” of Morgan Stanley that appear in this Agreement shall be understood to include Mitsubishi UFJ Morgan Stanley Securities Co., Ltd.</w:t>
      </w:r>
    </w:p>
    <w:p>
      <w:pPr>
        <w:spacing w:after="0" w:line="83" w:lineRule="exact"/>
        <w:rPr>
          <w:rFonts w:ascii="Times New Roman" w:cs="Times New Roman" w:eastAsia="Times New Roman" w:hAnsi="Times New Roman"/>
          <w:sz w:val="18"/>
          <w:szCs w:val="18"/>
          <w:color w:val="auto"/>
        </w:rPr>
      </w:pPr>
    </w:p>
    <w:p>
      <w:pPr>
        <w:ind w:left="4" w:right="120" w:firstLine="419"/>
        <w:spacing w:after="0" w:line="254" w:lineRule="auto"/>
        <w:tabs>
          <w:tab w:leader="none" w:pos="68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or on behalf of the Representatives expressly for use in the Registration Statement, any preliminary prospectus, the Time of Sale Prospectus, any issuer free writing prospectus, road show, any CSRC Filing or any amendment or supplement thereto, or the Prospectus or any amendment or supplement thereto, it being understood and agreed that the only such information furnished by any Underwriter through the Representatives consists of the following information in the Prospectus: the concession figure in the third paragraph and the information set forth in the thirteenth paragraph, in each case under the caption “Underwriters.”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4"/>
          </w:cols>
          <w:pgMar w:left="876" w:top="270" w:right="459" w:bottom="1440" w:gutter="0" w:footer="0" w:header="0"/>
        </w:sectPr>
      </w:pPr>
    </w:p>
    <w:bookmarkStart w:id="37" w:name="page38"/>
    <w:bookmarkEnd w:id="37"/>
    <w:p>
      <w:pPr>
        <w:ind w:firstLine="419"/>
        <w:spacing w:after="0" w:line="251" w:lineRule="auto"/>
        <w:tabs>
          <w:tab w:leader="none" w:pos="6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Registration Statement and each person, if any, who controls the Company within the meaning of either such Section.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separate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0"/>
          </w:cols>
          <w:pgMar w:left="880" w:top="270" w:right="45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68" w:lineRule="exact"/>
        <w:rPr>
          <w:sz w:val="20"/>
          <w:szCs w:val="20"/>
          <w:color w:val="auto"/>
        </w:rPr>
      </w:pPr>
    </w:p>
    <w:p>
      <w:pPr>
        <w:ind w:firstLine="419"/>
        <w:spacing w:after="0" w:line="252"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ADSs or (ii) if the allocation provided by clause 8(d)(i) above is not permitted by applicable law, in such proportion as is appropriate to reflect not only the relative benefits referred to in clause 8(d)(i)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ADSs shall be deemed to be in the same respective proportions as the net proceeds from the offering of the ADSs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Public Offering Price of the ADSs.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ADSs they have purchased hereunder, and not joint.</w:t>
      </w:r>
    </w:p>
    <w:p>
      <w:pPr>
        <w:spacing w:after="0" w:line="85" w:lineRule="exact"/>
        <w:rPr>
          <w:rFonts w:ascii="Times New Roman" w:cs="Times New Roman" w:eastAsia="Times New Roman" w:hAnsi="Times New Roman"/>
          <w:sz w:val="18"/>
          <w:szCs w:val="18"/>
          <w:color w:val="auto"/>
        </w:rPr>
      </w:pPr>
    </w:p>
    <w:p>
      <w:pPr>
        <w:ind w:right="20" w:firstLine="419"/>
        <w:spacing w:after="0" w:line="255"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ADSs underwritten by it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39" w:name="page40"/>
    <w:bookmarkEnd w:id="39"/>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75" w:lineRule="exact"/>
        <w:rPr>
          <w:sz w:val="20"/>
          <w:szCs w:val="20"/>
          <w:color w:val="auto"/>
        </w:rPr>
      </w:pPr>
    </w:p>
    <w:p>
      <w:pPr>
        <w:ind w:left="4" w:right="360" w:firstLine="419"/>
        <w:spacing w:after="0" w:line="276" w:lineRule="auto"/>
        <w:tabs>
          <w:tab w:leader="none" w:pos="65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jc w:val="both"/>
        <w:ind w:left="4" w:right="160" w:hanging="4"/>
        <w:spacing w:after="0" w:line="290" w:lineRule="auto"/>
        <w:tabs>
          <w:tab w:leader="none" w:pos="26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 made by or on behalf of any Underwriter, any person controlling any Underwriter or any affiliate of any Underwriter, or on behalf of the Company, its officers or directors or any person controlling the Company and (iii) acceptance of and payment for any of the ADSs.</w:t>
      </w:r>
    </w:p>
    <w:p>
      <w:pPr>
        <w:spacing w:after="0" w:line="155" w:lineRule="exact"/>
        <w:rPr>
          <w:sz w:val="20"/>
          <w:szCs w:val="20"/>
          <w:color w:val="auto"/>
        </w:rPr>
      </w:pPr>
    </w:p>
    <w:p>
      <w:pPr>
        <w:ind w:left="-436" w:firstLine="436"/>
        <w:spacing w:after="0" w:line="253" w:lineRule="auto"/>
        <w:tabs>
          <w:tab w:leader="none" w:pos="1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or any Option Closing Date, as the case may be, (i) trading generally shall have been suspended or materially limited on, or by, as the case may be, any of the New York Stock Exchange, the Nasdaq Global Market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New York State or Hong Kong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ADSs on the terms and in the manner contemplated in the Time of Sale Prospectus or the Prospectus. The Underwriters may also terminate this Agreement by notice given by the Representatives to the Company if, after the execution and delivery of this Agreement and prior to or on the Closing Date or any Option Closing Date, as the case may be, the Company or any of its subsidiaries receives any notice, order or communication from the CSRC or any other PRC governmental or regulatory authority that would prohibit, suspend, materially delay or materially adversely affect the offering and sale of the ADSs or the preparation or submission of the Post-Closing CSRC Filing Report.</w:t>
      </w:r>
    </w:p>
    <w:p>
      <w:pPr>
        <w:spacing w:after="0" w:line="187" w:lineRule="exact"/>
        <w:rPr>
          <w:rFonts w:ascii="Times New Roman" w:cs="Times New Roman" w:eastAsia="Times New Roman" w:hAnsi="Times New Roman"/>
          <w:sz w:val="18"/>
          <w:szCs w:val="18"/>
          <w:color w:val="auto"/>
        </w:rPr>
      </w:pPr>
    </w:p>
    <w:p>
      <w:pPr>
        <w:ind w:left="4984" w:right="140" w:hanging="4984"/>
        <w:spacing w:after="0" w:line="456" w:lineRule="auto"/>
        <w:tabs>
          <w:tab w:leader="none" w:pos="2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w:t>
      </w:r>
    </w:p>
    <w:p>
      <w:pPr>
        <w:sectPr>
          <w:pgSz w:w="11900" w:h="16838" w:orient="portrait"/>
          <w:cols w:equalWidth="0" w:num="1">
            <w:col w:w="10564"/>
          </w:cols>
          <w:pgMar w:left="876" w:top="270" w:right="459" w:bottom="1440" w:gutter="0" w:footer="0" w:header="0"/>
        </w:sectPr>
      </w:pPr>
    </w:p>
    <w:bookmarkStart w:id="40" w:name="page41"/>
    <w:bookmarkEnd w:id="4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on the Closing Date or an Option Closing Date, as the case may be, any one or more of the Underwriters shall fail or refuse to purchase ADSs that it has or they have agreed to purchase hereunder on such date, and the aggregate number of ADSs which such defaulting Underwriter or Underwriters agreed but failed or refused to purchase is not more than one-tenth of the aggregate number of the ADSs to be purchased on such date, the other Underwriters shall be obligated severally in the proportions that the number of Firm ADSs set forth opposite their respective names in Schedule I bears to the aggregate number of Firm ADSs set forth opposite the names of all such non-defaulting Underwriters, or in such other proportions as the Representatives may specify, to purchase the ADSs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ADSs that any Underwriter has agreed to purchase pursuant to this Agreement be increased pursuant to this Section 10 by an amount in excess of one-ninth of such number of ADSs without the written consent of such Underwriter. If, on the Closing Date, any Underwriter or Underwriters shall fail or refuse to purchase Firm ADSs and the aggregate number of Firm ADSs with respect to which such default occurs is more than one-tenth of the aggregate number of Firm ADSs to be purchased on such date, and arrangements satisfactory to the Representatives, the Company for the purchase of such Firm ADSs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ADSs and the aggregate number of Additional ADSs with respect to which such default occurs is more than one-tenth of the aggregate number of Additional ADSs to be purchased on such Option Closing Date, the non-defaulting Underwriters shall have the option to (i) terminate their obligation hereunder to purchase the Additional ADSs to be sold on such Option Closing Date or (ii) purchase not less than the number of Additional ADSs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clauses (i), (iii), (iv) or (v) of Section 9),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5" w:lineRule="exact"/>
        <w:rPr>
          <w:sz w:val="20"/>
          <w:szCs w:val="20"/>
          <w:color w:val="auto"/>
        </w:rPr>
      </w:pPr>
    </w:p>
    <w:p>
      <w:pPr>
        <w:ind w:right="40" w:firstLine="436"/>
        <w:spacing w:after="0" w:line="261" w:lineRule="auto"/>
        <w:tabs>
          <w:tab w:leader="none" w:pos="7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ADSs, represents the entire agreement between the Company and the Underwriters with respect to the preparation of any preliminary prospectus, the Time of Sale Prospectus, the Prospectus, the conduct of the offering, and the purchase and sale of the ADSs.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1" w:name="page42"/>
    <w:bookmarkEnd w:id="41"/>
    <w:p>
      <w:pPr>
        <w:jc w:val="both"/>
        <w:ind w:left="4" w:right="100" w:firstLine="436"/>
        <w:spacing w:after="0" w:line="272" w:lineRule="auto"/>
        <w:tabs>
          <w:tab w:leader="none" w:pos="699"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that in connection with the offering of the ADSs: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3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ADSs.</w:t>
      </w:r>
    </w:p>
    <w:p>
      <w:pPr>
        <w:spacing w:after="0" w:line="187" w:lineRule="exact"/>
        <w:rPr>
          <w:sz w:val="20"/>
          <w:szCs w:val="20"/>
          <w:color w:val="auto"/>
        </w:rPr>
      </w:pPr>
    </w:p>
    <w:p>
      <w:pPr>
        <w:ind w:left="4" w:right="100" w:firstLine="436"/>
        <w:spacing w:after="0" w:line="261" w:lineRule="auto"/>
        <w:tabs>
          <w:tab w:leader="none" w:pos="7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182" w:lineRule="exact"/>
        <w:rPr>
          <w:sz w:val="20"/>
          <w:szCs w:val="20"/>
          <w:color w:val="auto"/>
        </w:rPr>
      </w:pPr>
    </w:p>
    <w:p>
      <w:pPr>
        <w:ind w:left="4" w:firstLine="436"/>
        <w:spacing w:after="0" w:line="261" w:lineRule="auto"/>
        <w:tabs>
          <w:tab w:leader="none" w:pos="6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42" w:name="page43"/>
    <w:bookmarkEnd w:id="42"/>
    <w:p>
      <w:pPr>
        <w:ind w:right="140" w:firstLine="436"/>
        <w:spacing w:after="0" w:line="258"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80" w:firstLine="436"/>
        <w:spacing w:after="0" w:line="255"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 Appointment of Agents for Service</w:t>
      </w:r>
      <w:r>
        <w:rPr>
          <w:rFonts w:ascii="Times New Roman" w:cs="Times New Roman" w:eastAsia="Times New Roman" w:hAnsi="Times New Roman"/>
          <w:sz w:val="18"/>
          <w:szCs w:val="18"/>
          <w:color w:val="auto"/>
        </w:rPr>
        <w:t>. (a) The Company irrevocably submits to the non-exclusive jurisdiction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State or United States Federal court sitting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over any suit, action or proceeding arising out of or relating to this Agreement, the Time of Sale Prospectus, the Prospectus, the Registration Statement or the offering of the ADSs (each, a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The Company irrevocably waives, to the fullest extent permitted by law, any objection which it may now or hereafter have to the laying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hereby irrevocably appoints Ying Huang, the Chief Executive Officer of the Company, at 2101 Cottontail Lane, Somerset, New Jersey 08873,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5" w:lineRule="exact"/>
        <w:rPr>
          <w:sz w:val="20"/>
          <w:szCs w:val="20"/>
          <w:color w:val="auto"/>
        </w:rPr>
      </w:pPr>
    </w:p>
    <w:p>
      <w:pPr>
        <w:ind w:firstLine="436"/>
        <w:spacing w:after="0" w:line="255"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8" w:right="439" w:bottom="1440" w:gutter="0" w:footer="0" w:header="0"/>
        </w:sectPr>
      </w:pPr>
    </w:p>
    <w:bookmarkStart w:id="43" w:name="page44"/>
    <w:bookmarkEnd w:id="43"/>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78" w:lineRule="exact"/>
        <w:rPr>
          <w:sz w:val="20"/>
          <w:szCs w:val="20"/>
          <w:color w:val="auto"/>
        </w:rPr>
      </w:pPr>
    </w:p>
    <w:p>
      <w:pPr>
        <w:jc w:val="both"/>
        <w:ind w:right="200" w:firstLine="436"/>
        <w:spacing w:after="0" w:line="261"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If any sum payable by the Company under this Agreement is subject to tax in the hands of an Underwriter or taken into account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in computing the taxable income of that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w:t>
      </w:r>
    </w:p>
    <w:p>
      <w:pPr>
        <w:spacing w:after="0" w:line="179" w:lineRule="exact"/>
        <w:rPr>
          <w:rFonts w:ascii="Times New Roman" w:cs="Times New Roman" w:eastAsia="Times New Roman" w:hAnsi="Times New Roman"/>
          <w:sz w:val="18"/>
          <w:szCs w:val="18"/>
          <w:color w:val="auto"/>
        </w:rPr>
      </w:pPr>
    </w:p>
    <w:p>
      <w:pPr>
        <w:ind w:right="40" w:firstLine="436"/>
        <w:spacing w:after="0" w:line="284"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firstLine="436"/>
        <w:spacing w:after="0"/>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Morgan Stanley in care of Morgan Stanley Asia Limited, 46th Floor, International Commerce Centre, 1 Austin Road West, Kowloon Hong Kong, with a copy to Morgan Stanley &amp; Co. LLC, 1585 Broadway,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10036, Attention: Investment Banking Division (fax: (212) 507-8999), to Jefferies in care of Jefferies LLC, 520 Madison Avenue, New York, New York 10022, Attention: General Counsel and to Citigroup Global Markets Inc., 388 Greenwich Street, New York, New York 10013 Attention: General Counsel, facsimile number 1-646-291-1469; and if to the Company shall be delivered, mailed or sent to Legend Biotech Corporation, Attention: Ying Huang, Ph.D., 2101 Cottontail Lane, Somerset, New Jersey 08873, with a copy to (which shall not constitute notice) Cooley LLP, Attention: Divakar Gupta, 55 Hudson Yards, New York, New York 10001.</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LEGEND BIOTECH CORPORATION</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Carlos Santos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Carlos Santos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Asia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Andy 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Andy Y Wu</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Brinkman</w:t>
      </w:r>
    </w:p>
    <w:p>
      <w:pPr>
        <w:spacing w:after="0" w:line="23" w:lineRule="exact"/>
        <w:rPr>
          <w:sz w:val="20"/>
          <w:szCs w:val="20"/>
          <w:color w:val="auto"/>
        </w:rPr>
      </w:pPr>
    </w:p>
    <w:p>
      <w:pPr>
        <w:jc w:val="center"/>
        <w:ind w:right="749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Whittaker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Whittaker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Underwriter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Number of Firm ADSs To</w:t>
      </w:r>
    </w:p>
    <w:p>
      <w:pPr>
        <w:spacing w:after="0" w:line="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Be Purchased</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3,465,000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2,926,000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924,000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2515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color w:val="auto"/>
        </w:rPr>
        <w:t>7,700,000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251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12515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040"/>
          </w:cols>
          <w:pgMar w:left="440" w:top="266" w:right="439" w:bottom="1440" w:gutter="0" w:footer="0" w:header="0"/>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I-1</w:t>
      </w:r>
    </w:p>
    <w:p>
      <w:pPr>
        <w:sectPr>
          <w:pgSz w:w="11900" w:h="16838" w:orient="portrait"/>
          <w:cols w:equalWidth="0" w:num="1">
            <w:col w:w="11020"/>
          </w:cols>
          <w:pgMar w:left="440" w:top="266" w:right="439"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June 17, 2026</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Communicated pricing information: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Firm ADSs: 7,700,000</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Additional ADSs: 1,155,000</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Public: $29.35 per ADS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Asia Limited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46th Floor, International Commerce Centre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Austin Road West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Kowloon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understands that Morgan Stanley Asia Limited, Jefferies LLC and Citigroup Global Markets Inc. (together,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Legend Biotech Corporation,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exempted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ordinary shares, par value $0.0001 per share, of the Company (the “</w:t>
      </w:r>
      <w:r>
        <w:rPr>
          <w:rFonts w:ascii="Times New Roman" w:cs="Times New Roman" w:eastAsia="Times New Roman" w:hAnsi="Times New Roman"/>
          <w:sz w:val="18"/>
          <w:szCs w:val="18"/>
          <w:b w:val="1"/>
          <w:bCs w:val="1"/>
          <w:color w:val="auto"/>
        </w:rPr>
        <w:t>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the form of American Depositary Shares (collectively with the Ordinary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Morgan Stanley Asia Limited and Jefferies LLC on behalf of the Underwriters, it will not, and will not publicly disclose an intention to, during the period commencing on the date hereof and ending 60 days after the date of the final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w:t>
      </w:r>
    </w:p>
    <w:p>
      <w:pPr>
        <w:sectPr>
          <w:pgSz w:w="11900" w:h="16838" w:orient="portrait"/>
          <w:cols w:equalWidth="0" w:num="1">
            <w:col w:w="11020"/>
          </w:cols>
          <w:pgMar w:left="440" w:top="266" w:right="439" w:bottom="1440" w:gutter="0" w:footer="0" w:header="0"/>
        </w:sectPr>
      </w:pPr>
    </w:p>
    <w:bookmarkStart w:id="49" w:name="page50"/>
    <w:bookmarkEnd w:id="4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 any option, right or warrant to purchase, lend, or otherwise transfer or dispose of, directly or indirectly, any Securities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Securities or (2) enter into any swap or other arrangement that transfers to another, in whole or in part, any of the economic consequences of ownership of the Securities, whether any such transaction described in clause (1) or (2) above is to be settled by delivery of Securities or such other securities, in cash or otherwise. The foregoing sentence shall not apply to:</w:t>
      </w:r>
    </w:p>
    <w:p>
      <w:pPr>
        <w:spacing w:after="0" w:line="75" w:lineRule="exact"/>
        <w:rPr>
          <w:sz w:val="20"/>
          <w:szCs w:val="20"/>
          <w:color w:val="auto"/>
        </w:rPr>
      </w:pPr>
    </w:p>
    <w:p>
      <w:pPr>
        <w:ind w:left="680" w:hanging="244"/>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Securities acquired in the Public Offering or in open market transactions after the completion of the Public Offering;</w:t>
      </w:r>
    </w:p>
    <w:p>
      <w:pPr>
        <w:spacing w:after="0" w:line="225" w:lineRule="exact"/>
        <w:rPr>
          <w:rFonts w:ascii="Times New Roman" w:cs="Times New Roman" w:eastAsia="Times New Roman" w:hAnsi="Times New Roman"/>
          <w:sz w:val="18"/>
          <w:szCs w:val="18"/>
          <w:color w:val="auto"/>
        </w:rPr>
      </w:pPr>
    </w:p>
    <w:p>
      <w:pPr>
        <w:ind w:right="80" w:firstLine="436"/>
        <w:spacing w:after="0" w:line="277" w:lineRule="auto"/>
        <w:tabs>
          <w:tab w:leader="none" w:pos="6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Securities or any security convertible into or exercisable or exchangeable for Securities (i) as a bona fide gift, or for bona fide estate planning purposes, upon death or by will, testamentary document or intestate succession, (ii) to an immediate family member of the undersigned or to any trust for the direct or indirect benefit of the undersigned or the immediate family of the undersigned (for purposes of this agreement, “immediate family” shall mean any relationship by blood, current or former marriage or adoption, not more remote than first cousin), (iii) not involving a change in beneficial ownership, or (iv) if the undersigned is a trust, to any beneficiary of the undersigned or the estate of any such beneficiary;</w:t>
      </w:r>
    </w:p>
    <w:p>
      <w:pPr>
        <w:spacing w:after="0" w:line="167" w:lineRule="exact"/>
        <w:rPr>
          <w:rFonts w:ascii="Times New Roman" w:cs="Times New Roman" w:eastAsia="Times New Roman" w:hAnsi="Times New Roman"/>
          <w:sz w:val="17"/>
          <w:szCs w:val="17"/>
          <w:color w:val="auto"/>
        </w:rPr>
      </w:pPr>
    </w:p>
    <w:p>
      <w:pPr>
        <w:ind w:right="380" w:firstLine="436"/>
        <w:spacing w:after="0" w:line="26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Securities or any security convertible into or exercisable or exchangeable for Securities to stockholders, direct or indirect affiliates (within the meaning set forth in Rule 405 under the Securities Act of 1933, as amended), current partners (general or limited), members or managers of the undersigned, as applicable, or to the estates of any such stockholders, affiliates, partners, members or managers;</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receipt by the undersigned from the Company of Securities upon the exercise of options or warrants or upon the vesting and settlement of restricted stock units (“RSUs”), insofar as such options, warrants or RSUs are outstanding as of the date of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options, warrants or RSUs are described in the Prospectus and the Securities received upon exercise of such option or warrant or vesting and settlement of such RSU shall remain subject to this agreement, (ii) the transfer of Securities or any securities convertible into Securities to the Company upon a vesting event of the Company’s securities or upon the exercise of options or warrants to purchase the Company’s securities on a “cashless” or “net exercise” basis to the extent permitted by the instruments representing such options or warrants so long as such “cashless” exercise or “net exercise” is effected solely by the surrender of outstanding options, warrants or RSUs to the Company and the Company’s cancellation of all or a portion thereof to pay the exercise price and/or withholding tax obligations, but for the avoidance of doubt, excluding all methods of exercise that would involve a sale of any Securities relating to options or warrants, whether to cover the applicable exercise price, withholding tax obligations or otherwise (and, for the avoidance of doubt, nothing in this clause (ii) shall limit or restrict the rights described in clause (iii)), or (iii) the transfer or disposition of Securities in connection with the vesting or settlement of RSUs, so long as such sale is effected pursuant to the Company’s sell to cover policy solely in an amount sufficient to cover withholding taxes due in connection with such RSUs;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0" w:name="page51"/>
    <w:bookmarkEnd w:id="5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16(a) of the Exchange Act, or any other public filing or disclosure of such receipt or transfer by or on behalf of the undersigned shall be voluntarily made during the Restricted Period, and any required filing under the Exchange Act shall clearly indicate in the footnotes thereto that the filing relates to the circumstances described in clause (i), (ii), or (iii), as applicable;</w:t>
      </w:r>
    </w:p>
    <w:p>
      <w:pPr>
        <w:spacing w:after="0" w:line="176" w:lineRule="exact"/>
        <w:rPr>
          <w:sz w:val="20"/>
          <w:szCs w:val="20"/>
          <w:color w:val="auto"/>
        </w:rPr>
      </w:pPr>
    </w:p>
    <w:p>
      <w:pPr>
        <w:ind w:left="680" w:hanging="244"/>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pursuant to the terms of the Underwriting Agreement;</w:t>
      </w:r>
    </w:p>
    <w:p>
      <w:pPr>
        <w:spacing w:after="0" w:line="223"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pursuant to Rule 10b5-1 under the Exchange Act for the transfer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Securities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Securities may be made under such plan during the Restricted Period;</w:t>
      </w:r>
    </w:p>
    <w:p>
      <w:pPr>
        <w:spacing w:after="0" w:line="181"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Securities pursuant to a trading plan pursuant to Rule 10b5-1 under the Exchange Act that is existing as of the date hereof, provided that to the extent a public announcement or filing under the Exchange Act is required of the undersigned or the Company regarding the sale, such announcement or filing shall include a statement to the effect that the sale occurred pursuant to such trading plan;</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Securities or any security convertible into or exercisable or exchangeable for Securities that occurs by operation of law pursuant to a qualified domestic order in connection with a divorce settlement or other court order;</w:t>
      </w:r>
    </w:p>
    <w:p>
      <w:pPr>
        <w:spacing w:after="0" w:line="161" w:lineRule="exact"/>
        <w:rPr>
          <w:rFonts w:ascii="Times New Roman" w:cs="Times New Roman" w:eastAsia="Times New Roman" w:hAnsi="Times New Roman"/>
          <w:sz w:val="18"/>
          <w:szCs w:val="18"/>
          <w:color w:val="auto"/>
        </w:rPr>
      </w:pPr>
    </w:p>
    <w:p>
      <w:pPr>
        <w:ind w:right="40" w:firstLine="436"/>
        <w:spacing w:after="0" w:line="254"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of Securities or any security convertible into or exercisable or exchangeable for Securities to the Company pursuant to any contractual arrangement under which the Company has the option to repurchase such shares or a right of first refusal with respect to transfers of such shares in the event the undersigned ceases to provide services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contractual arrangement is disclosed in the Prospectus or filed as an exhibit to the Registration Statement on Form F-3 relating to the Public Offering or a document incorporated by reference therein,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no filing under the Exchange Act or other public filing, report or announcement reporting a change in beneficial ownership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shall be voluntarily made during the Restricted Period, and if the undersigned is required to file a report under the Exchange Act reporting a change in beneficial ownership of Securities during the Restricted Period, the undersigned shall clearly indicate in the footnotes thereto that the filing relates to the termination of the undersigned’s employment or other services; and</w:t>
      </w:r>
    </w:p>
    <w:p>
      <w:pPr>
        <w:spacing w:after="0" w:line="191" w:lineRule="exact"/>
        <w:rPr>
          <w:rFonts w:ascii="Times New Roman" w:cs="Times New Roman" w:eastAsia="Times New Roman" w:hAnsi="Times New Roman"/>
          <w:sz w:val="18"/>
          <w:szCs w:val="18"/>
          <w:color w:val="auto"/>
        </w:rPr>
      </w:pPr>
    </w:p>
    <w:p>
      <w:pPr>
        <w:ind w:right="20" w:firstLine="436"/>
        <w:spacing w:after="0" w:line="261"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Securities or any security convertible into or exercisable or exchangeable for Securities pursuant to a bona fide third-party tender offer, merger, consolidation or other similar transaction that is approved by the Board of Directors of the Company, made to all holders of Securities involving a Change of Control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Securities owned by the undersigned shall remain subject to the restrictions contained in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1" w:name="page52"/>
    <w:bookmarkEnd w:id="51"/>
    <w:p>
      <w:pPr>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in the case of any sale, transfer or distribution pursuant to clause (a), (b)(ii)-(iv), or (c), no filing under Section 16(a)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or any other public filing or disclosure reporting a reduction in beneficial ownership of Securities shall be required or shall be voluntarily made during the Restricted Period;</w:t>
      </w:r>
    </w:p>
    <w:p>
      <w:pPr>
        <w:spacing w:after="0" w:line="173"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pursuant to clause (b)(i), no filing under Section 16(a) of the Exchange Act or any other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or disclosure shall be voluntarily made during the Restricted Period, and any required filing shall clearly indicate in the footnotes thereto that the filing relates to the circumstances described in clause (b)(i), including that the Securities remain subject to the terms of this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distribution pursuant to clause (c), such distribution shall not involve a disposition for value;</w:t>
      </w:r>
    </w:p>
    <w:p>
      <w:pPr>
        <w:spacing w:after="0" w:line="22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 (b), (c) or (h), each transferee, donee or distributee shall 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 lock-up letter substantially in the form of this agreement; and</w:t>
      </w:r>
    </w:p>
    <w:p>
      <w:pPr>
        <w:spacing w:after="0" w:line="15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pursuant to clause (h), no filing under Section 16(a) of the Exchange Act or any other public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disclosure shall be voluntarily made during the Restricted Period, and any required filing shall clearly indicate in the footnotes thereto that such transfer is by operation of law, court order or in connection with a divorce settlement, as the case may be.</w:t>
      </w:r>
    </w:p>
    <w:p>
      <w:pPr>
        <w:spacing w:after="0" w:line="17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clause (j), “Change of Control” shall mean the transfer (whether by tender offer, merger, consolidation or other similar transaction), in one transaction or a series of related transactions, to a person or group of affiliated persons (other than the Underwriters pursuant to the Public Offering), of the Company’s voting securities if, after such transfer, such person or group of affiliated persons would hold more than 75% of the outstanding voting securities of the Company (or the surviving entity).</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Morgan Stanley Asia Limited and Jefferies LLC on behalf of the Underwriters, it will not, during the Restricted Period, make any demand for or exercise any right with respect to, the registration of any Securities or any security convertible into or exercisable or exchangeable for Securities. The undersigned also agrees and consents to the entry of stop transfer instructions with the Company’s transfer agent and registrar against the transfer of the undersigned’s Securities except in compliance with the foregoing restrictions.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undersigned hereby consents to receipt of this agreement in electronic form and understand and agree that this letter agreement may be signed electronically. If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8" w:right="479" w:bottom="1440" w:gutter="0" w:footer="0" w:header="0"/>
        </w:sectPr>
      </w:pPr>
    </w:p>
    <w:bookmarkStart w:id="52" w:name="page53"/>
    <w:bookmarkEnd w:id="52"/>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acknowledges that in connection with the offering of the Securities, none of the activities of the Underwriters in connection with the transactions contemplated herein constitutes a recommendation, investment advice, or solicitation of any action by the Underwriters with respect to any entity or natural person. The undersigned acknowledges that the Underwriters have not solicited any action from the undersigned with respect to the Public Offering of the Securities and that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Securities at the price determined in the Public Offering, and nothing set forth in such disclosures or documentation is intended to suggest that any Underwriter is making such a recommendation.</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agreement will automatically terminate and the undersigned will be released from all obligations hereunder upon the earliest to occur, if any, of (i) the Company, on the one hand, or all of the Representatives, on the other hand, advises in writing that it has determined not to proceed with the Public Offering prior to the execution of the Underwriting Agreement, (ii) the Company files an application with the Securities and Exchange Commission to withdraw the registration statement related to the Public Offering, (iii) the date the Underwriting Agreement (other than the provisions thereof which survive termination) shall terminate or be terminated prior to payment for and delivery of the Securities to be sold thereunder, or (iv) June 30 ,2026, if the Underwriting Agreement has not been executed by such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53" w:name="page54"/>
    <w:bookmarkEnd w:id="53"/>
    <w:p>
      <w:pPr>
        <w:ind w:left="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INDIVIDUAL:</w:t>
      </w:r>
    </w:p>
    <w:p>
      <w:pPr>
        <w:spacing w:after="0" w:line="200" w:lineRule="exact"/>
        <w:rPr>
          <w:sz w:val="20"/>
          <w:szCs w:val="20"/>
          <w:color w:val="auto"/>
        </w:rPr>
      </w:pPr>
    </w:p>
    <w:p>
      <w:pPr>
        <w:spacing w:after="0" w:line="25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3077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-19050</wp:posOffset>
            </wp:positionV>
            <wp:extent cx="27425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565785</wp:posOffset>
            </wp:positionV>
            <wp:extent cx="3077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3077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-7620</wp:posOffset>
            </wp:positionV>
            <wp:extent cx="26854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5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-485140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-126365</wp:posOffset>
            </wp:positionV>
            <wp:extent cx="35744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5715</wp:posOffset>
            </wp:positionV>
            <wp:extent cx="30689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5715</wp:posOffset>
            </wp:positionV>
            <wp:extent cx="30689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ind w:left="234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5715</wp:posOffset>
            </wp:positionV>
            <wp:extent cx="30689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i w:val="1"/>
          <w:iCs w:val="1"/>
          <w:color w:val="auto"/>
        </w:rPr>
        <w:t>(please print full title)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554355</wp:posOffset>
            </wp:positionV>
            <wp:extent cx="3574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280035</wp:posOffset>
            </wp:positionV>
            <wp:extent cx="35744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17145</wp:posOffset>
            </wp:positionV>
            <wp:extent cx="30689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4740" w:space="720"/>
            <w:col w:w="4560"/>
          </w:cols>
          <w:pgMar w:left="440" w:top="270" w:right="1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831215" cy="788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3121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Our ref</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JLH/807659-000008/86867667v3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2101 Cottontail Lane,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Somerset, New Jersey 08873,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 June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117" w:lineRule="exact"/>
        <w:rPr>
          <w:sz w:val="20"/>
          <w:szCs w:val="20"/>
          <w:color w:val="auto"/>
        </w:rPr>
      </w:pPr>
    </w:p>
    <w:p>
      <w:pPr>
        <w:ind w:left="4" w:right="180"/>
        <w:spacing w:after="0" w:line="257" w:lineRule="auto"/>
        <w:rPr>
          <w:sz w:val="20"/>
          <w:szCs w:val="20"/>
          <w:color w:val="auto"/>
        </w:rPr>
      </w:pPr>
      <w:r>
        <w:rPr>
          <w:rFonts w:ascii="Times New Roman" w:cs="Times New Roman" w:eastAsia="Times New Roman" w:hAnsi="Times New Roman"/>
          <w:sz w:val="18"/>
          <w:szCs w:val="18"/>
          <w:color w:val="auto"/>
        </w:rPr>
        <w:t>We have acted as Cayman Islands legal advisers to Legend Biotech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an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Company of an aggregate of 8,855,000 American depository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representing 17,710,000 ordinary shares of par value US$0.0001 each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(including up to 1,155,000 ADSs representing 2,310,000 Shares if the underwriters to the Offering exercise their option to purchase additional ADSs in full), pursuant to an “automatic shelf” registration statement on Form F-3 (File No. 333-278050) that was previously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19 March 2024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supplement dated 18 June 2026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Each ADS represents two Shares.</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are furnishing this opinion as Exhibit 5.1 to the Form 6-K to be filed by the Company with the Commission in connection with the Offering.</w:t>
      </w:r>
    </w:p>
    <w:p>
      <w:pPr>
        <w:spacing w:after="0" w:line="127"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opinion, we have reviewed only originals, copies or final drafts of the following documents:</w:t>
      </w:r>
    </w:p>
    <w:p>
      <w:pPr>
        <w:spacing w:after="0" w:line="1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tab/>
        <w:t>The certificate of incorporation dated 27 May 2015 issued by the Registrar of Companies in the Cayman Islands (the “</w:t>
      </w:r>
      <w:r>
        <w:rPr>
          <w:rFonts w:ascii="Times New Roman" w:cs="Times New Roman" w:eastAsia="Times New Roman" w:hAnsi="Times New Roman"/>
          <w:sz w:val="18"/>
          <w:szCs w:val="18"/>
          <w:b w:val="1"/>
          <w:bCs w:val="1"/>
          <w:color w:val="auto"/>
        </w:rPr>
        <w:t>Registrar of Companies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tab/>
        <w:t>The third amended and restated memorandum and articles of association of the Company as adopted by a special resolution passed on 26 May</w:t>
      </w:r>
    </w:p>
    <w:p>
      <w:pPr>
        <w:spacing w:after="0" w:line="27" w:lineRule="exact"/>
        <w:rPr>
          <w:sz w:val="20"/>
          <w:szCs w:val="20"/>
          <w:color w:val="auto"/>
        </w:rPr>
      </w:pPr>
    </w:p>
    <w:p>
      <w:pPr>
        <w:ind w:left="424" w:right="780"/>
        <w:spacing w:after="0" w:line="260" w:lineRule="auto"/>
        <w:rPr>
          <w:sz w:val="20"/>
          <w:szCs w:val="20"/>
          <w:color w:val="auto"/>
        </w:rPr>
      </w:pPr>
      <w:r>
        <w:rPr>
          <w:rFonts w:ascii="Times New Roman" w:cs="Times New Roman" w:eastAsia="Times New Roman" w:hAnsi="Times New Roman"/>
          <w:sz w:val="18"/>
          <w:szCs w:val="18"/>
          <w:color w:val="auto"/>
        </w:rPr>
        <w:t>2020 and effective immediately prior to the completion of the Company’s initial public offering of the ADSs representing its Shares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left="424" w:right="20" w:hanging="431"/>
        <w:spacing w:after="0" w:line="268" w:lineRule="auto"/>
        <w:tabs>
          <w:tab w:leader="none" w:pos="404" w:val="left"/>
        </w:tabs>
        <w:rPr>
          <w:sz w:val="20"/>
          <w:szCs w:val="20"/>
          <w:color w:val="auto"/>
        </w:rPr>
      </w:pPr>
      <w:r>
        <w:rPr>
          <w:rFonts w:ascii="Times New Roman" w:cs="Times New Roman" w:eastAsia="Times New Roman" w:hAnsi="Times New Roman"/>
          <w:sz w:val="18"/>
          <w:szCs w:val="18"/>
          <w:color w:val="auto"/>
        </w:rPr>
        <w:t>1.3</w:t>
        <w:tab/>
        <w:t>The minutes (the “</w:t>
      </w:r>
      <w:r>
        <w:rPr>
          <w:rFonts w:ascii="Times New Roman" w:cs="Times New Roman" w:eastAsia="Times New Roman" w:hAnsi="Times New Roman"/>
          <w:sz w:val="18"/>
          <w:szCs w:val="18"/>
          <w:b w:val="1"/>
          <w:bCs w:val="1"/>
          <w:color w:val="auto"/>
        </w:rPr>
        <w:t>Minutes</w:t>
      </w:r>
      <w:r>
        <w:rPr>
          <w:rFonts w:ascii="Times New Roman" w:cs="Times New Roman" w:eastAsia="Times New Roman" w:hAnsi="Times New Roman"/>
          <w:sz w:val="18"/>
          <w:szCs w:val="18"/>
          <w:color w:val="auto"/>
        </w:rPr>
        <w:t>”) of the meeting of the board of directors of the Company held on 11 June 2026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and the minutes of the meeting of the pricing committee of the board of directors of the Company (the “</w:t>
      </w:r>
      <w:r>
        <w:rPr>
          <w:rFonts w:ascii="Times New Roman" w:cs="Times New Roman" w:eastAsia="Times New Roman" w:hAnsi="Times New Roman"/>
          <w:sz w:val="18"/>
          <w:szCs w:val="18"/>
          <w:b w:val="1"/>
          <w:bCs w:val="1"/>
          <w:color w:val="auto"/>
        </w:rPr>
        <w:t>Pricing Committee</w:t>
      </w:r>
      <w:r>
        <w:rPr>
          <w:rFonts w:ascii="Times New Roman" w:cs="Times New Roman" w:eastAsia="Times New Roman" w:hAnsi="Times New Roman"/>
          <w:sz w:val="18"/>
          <w:szCs w:val="18"/>
          <w:color w:val="auto"/>
        </w:rPr>
        <w:t>”) held on 17 June 2026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as Annexure A hereto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5151755" cy="11144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51755" cy="111442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55" w:name="page56"/>
    <w:bookmarkEnd w:id="55"/>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w:t>
      </w:r>
      <w:r>
        <w:rPr>
          <w:sz w:val="20"/>
          <w:szCs w:val="20"/>
          <w:color w:val="auto"/>
        </w:rPr>
        <w:tab/>
      </w:r>
      <w:r>
        <w:rPr>
          <w:rFonts w:ascii="Times New Roman" w:cs="Times New Roman" w:eastAsia="Times New Roman" w:hAnsi="Times New Roman"/>
          <w:sz w:val="17"/>
          <w:szCs w:val="17"/>
          <w:color w:val="auto"/>
        </w:rPr>
        <w:t>A certificate of good standing dated 11 June 2026, issued by the Registrar of Companies (the “</w:t>
      </w:r>
      <w:r>
        <w:rPr>
          <w:rFonts w:ascii="Times New Roman" w:cs="Times New Roman" w:eastAsia="Times New Roman" w:hAnsi="Times New Roman"/>
          <w:sz w:val="17"/>
          <w:szCs w:val="17"/>
          <w:b w:val="1"/>
          <w:bCs w:val="1"/>
          <w:color w:val="auto"/>
        </w:rPr>
        <w:t>Certificate of Good Standing</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1.6</w:t>
        <w:tab/>
        <w:t>The Registration Statement.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1.7</w:t>
        <w:tab/>
        <w:t>The Prospectus Supplement.</w:t>
      </w:r>
    </w:p>
    <w:p>
      <w:pPr>
        <w:spacing w:after="0" w:line="370" w:lineRule="exact"/>
        <w:rPr>
          <w:sz w:val="20"/>
          <w:szCs w:val="20"/>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121"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85" w:lineRule="exact"/>
        <w:rPr>
          <w:sz w:val="20"/>
          <w:szCs w:val="20"/>
          <w:color w:val="auto"/>
        </w:rPr>
      </w:pPr>
    </w:p>
    <w:p>
      <w:pPr>
        <w:ind w:left="424" w:right="5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2.1</w:t>
        <w:tab/>
        <w:t>Copies of documents, conformed copies or drafts of documents provided to us are true and complete copies of, or in the final forms of, the originals.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tab/>
        <w:t>All signatures, initials and seals are genuine.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There is nothing under any law (other than the law of the Cayman Islands), which would or might affect the opinions set out below.</w:t>
      </w:r>
    </w:p>
    <w:p>
      <w:pPr>
        <w:spacing w:after="0" w:line="131"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2.4</w:t>
        <w:tab/>
        <w:t>There is nothing contained in the minute book or corporate records of the Company (which, other than the records set out in paragraphs 1.1 to 1.3 of this opinion letter, we have not inspected) which would or might affect the opinions set out below.</w:t>
      </w:r>
    </w:p>
    <w:p>
      <w:pPr>
        <w:spacing w:after="0" w:line="306" w:lineRule="exact"/>
        <w:rPr>
          <w:sz w:val="20"/>
          <w:szCs w:val="20"/>
          <w:color w:val="auto"/>
        </w:rPr>
      </w:pPr>
    </w:p>
    <w:p>
      <w:pPr>
        <w:ind w:left="424" w:hanging="424"/>
        <w:spacing w:after="0"/>
        <w:tabs>
          <w:tab w:leader="none" w:pos="42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and having regard to such legal considerations as we deem relevant, we are of the opinion that:</w:t>
      </w:r>
    </w:p>
    <w:p>
      <w:pPr>
        <w:spacing w:after="0" w:line="67" w:lineRule="exact"/>
        <w:rPr>
          <w:sz w:val="20"/>
          <w:szCs w:val="20"/>
          <w:color w:val="auto"/>
        </w:rPr>
      </w:pPr>
    </w:p>
    <w:p>
      <w:pPr>
        <w:ind w:left="424" w:right="3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3.1</w:t>
        <w:tab/>
        <w:t>The Company has been duly incorporated as an exempted company with limited liability and is validly existing and in good standing with the Registrar of Companies under the laws of the Cayman Islands.</w:t>
      </w:r>
    </w:p>
    <w:p>
      <w:pPr>
        <w:spacing w:after="0" w:line="67" w:lineRule="exact"/>
        <w:rPr>
          <w:sz w:val="20"/>
          <w:szCs w:val="20"/>
          <w:color w:val="auto"/>
        </w:rPr>
      </w:pPr>
    </w:p>
    <w:p>
      <w:pPr>
        <w:ind w:left="424" w:right="1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3.2</w:t>
        <w:tab/>
        <w:t>The issue and allotment of the Shares pursuant to the Offering have been duly authorised, and when allotted, issued and paid for as contemplated in the Registration Statement and the Prospectus Supplement, the Shares will be legally issued and allotted, fully paid and non-assessable. As a matter of Cayman law, a share is only issued when it has been entered in the register of members (shareholders).</w:t>
      </w:r>
    </w:p>
    <w:p>
      <w:pPr>
        <w:spacing w:after="0" w:line="81" w:lineRule="exact"/>
        <w:rPr>
          <w:sz w:val="20"/>
          <w:szCs w:val="20"/>
          <w:color w:val="auto"/>
        </w:rPr>
      </w:pPr>
    </w:p>
    <w:p>
      <w:pPr>
        <w:ind w:left="424" w:right="4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3.3</w:t>
        <w:tab/>
        <w:t>The statements under the headings “Selling Restrictions”, “Cayman Islands Taxation” and “Legal Matters” in the Prospectus Supplement are accurate in so far as such statements are summaries of or relate to Cayman Islands law, and such statements constitute our opinion.</w:t>
      </w:r>
    </w:p>
    <w:p>
      <w:pPr>
        <w:spacing w:after="0" w:line="306"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12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In this opinion the phrase “non-assessable” means, with respect to the Shares in the Company, that a shareholder shall not, solely by virtue of its status as a shareholder, and in absence of a contractual arrangement, or an obligation pursuant to the Memorandum and Articles,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56" w:name="page57"/>
    <w:bookmarkEnd w:id="5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Prospectus Supplement and to the reference to our name under the headings “Material Income Tax Considerations - Cayman Islands Taxation “ and “Legal Matters” and elsewhere in the Prospectus Supplement.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57" w:name="page58"/>
    <w:bookmarkEnd w:id="57"/>
    <w:p>
      <w:pPr>
        <w:ind w:left="50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Annexure A</w:t>
      </w:r>
    </w:p>
    <w:p>
      <w:pPr>
        <w:spacing w:after="0" w:line="117"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b w:val="1"/>
          <w:bCs w:val="1"/>
          <w:color w:val="auto"/>
        </w:rPr>
        <w:t>Director’s Certificate</w:t>
      </w:r>
    </w:p>
    <w:p>
      <w:pPr>
        <w:spacing w:after="0" w:line="117" w:lineRule="exact"/>
        <w:rPr>
          <w:sz w:val="20"/>
          <w:szCs w:val="20"/>
          <w:color w:val="auto"/>
        </w:rPr>
      </w:pPr>
    </w:p>
    <w:p>
      <w:pPr>
        <w:ind w:left="4404"/>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4th Floor, Harbour Place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 South Church Street, P.O. Box 10240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Grand Cayman KY1-1002, Cayman Islands</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Maples and Calder (Hong Kong)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26th Floor, Central Plaza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18 Harbour Road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Wanchai</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22, 2026</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Legend Biotech Corporation (the “Company”)</w:t>
      </w:r>
    </w:p>
    <w:p>
      <w:pPr>
        <w:spacing w:after="0" w:line="22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80" w:lineRule="exact"/>
        <w:rPr>
          <w:sz w:val="20"/>
          <w:szCs w:val="20"/>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Memorandum and Articles remain in full force and effect and are unamended.</w:t>
      </w:r>
    </w:p>
    <w:p>
      <w:pPr>
        <w:spacing w:after="0" w:line="131" w:lineRule="exact"/>
        <w:rPr>
          <w:sz w:val="20"/>
          <w:szCs w:val="20"/>
          <w:color w:val="auto"/>
        </w:rPr>
      </w:pPr>
    </w:p>
    <w:p>
      <w:pPr>
        <w:ind w:left="424" w:right="60" w:hanging="424"/>
        <w:spacing w:after="0" w:line="261" w:lineRule="auto"/>
        <w:tabs>
          <w:tab w:leader="none" w:pos="4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Minutes are a true and correct record of the proceedings of the Meeting, which was duly convened and held, and at which a quorum was present throughout, in each case, in the manner prescribed in the Memorandum and Articles. The Resolutions set out in the Minutes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85" w:lineRule="exact"/>
        <w:rPr>
          <w:sz w:val="20"/>
          <w:szCs w:val="20"/>
          <w:color w:val="auto"/>
        </w:rPr>
      </w:pPr>
    </w:p>
    <w:p>
      <w:pPr>
        <w:ind w:left="424" w:right="220" w:hanging="424"/>
        <w:spacing w:after="0" w:line="282" w:lineRule="auto"/>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Resolutions were duly passed in the manner prescribed in the Memorandum and Articles and have not been amended, varied or revoked in any respect.</w:t>
      </w:r>
    </w:p>
    <w:p>
      <w:pPr>
        <w:spacing w:after="0" w:line="67" w:lineRule="exact"/>
        <w:rPr>
          <w:sz w:val="20"/>
          <w:szCs w:val="20"/>
          <w:color w:val="auto"/>
        </w:rPr>
      </w:pPr>
    </w:p>
    <w:p>
      <w:pPr>
        <w:jc w:val="both"/>
        <w:ind w:left="424" w:right="60" w:hanging="424"/>
        <w:spacing w:after="0" w:line="266" w:lineRule="auto"/>
        <w:tabs>
          <w:tab w:leader="none" w:pos="42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shareholders of the Company have not restricted or limited the powers of the directors of the Company in any way and there is no contractual or other prohibition (other than as arising under Cayman Islands law) binding on the Company prohibiting it from issuing and allotting the Shares or otherwise performing its obligations under the Prospectus Supplement.</w:t>
      </w:r>
    </w:p>
    <w:p>
      <w:pPr>
        <w:spacing w:after="0" w:line="81" w:lineRule="exact"/>
        <w:rPr>
          <w:sz w:val="20"/>
          <w:szCs w:val="20"/>
          <w:color w:val="auto"/>
        </w:rPr>
      </w:pPr>
    </w:p>
    <w:p>
      <w:pPr>
        <w:ind w:left="424" w:right="280" w:hanging="424"/>
        <w:spacing w:after="0" w:line="266" w:lineRule="auto"/>
        <w:tabs>
          <w:tab w:leader="none" w:pos="42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of the Company have not restricted the powers, authority and discretion delegated to the Pricing Committee under the Minutes in any way which limits the power or authority of the Pricing Committee with respect to the Offering or the performance by the Company of its obligations thereunder.</w:t>
      </w:r>
    </w:p>
    <w:p>
      <w:pPr>
        <w:spacing w:after="0" w:line="81" w:lineRule="exact"/>
        <w:rPr>
          <w:sz w:val="20"/>
          <w:szCs w:val="20"/>
          <w:color w:val="auto"/>
        </w:rPr>
      </w:pPr>
    </w:p>
    <w:p>
      <w:pPr>
        <w:jc w:val="both"/>
        <w:ind w:left="424" w:right="260" w:hanging="424"/>
        <w:spacing w:after="0" w:line="266" w:lineRule="auto"/>
        <w:tabs>
          <w:tab w:leader="none" w:pos="42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authorised share capital of the Company is US$200,000 divided into 1,999,000,000 Ordinary Shares of a par value of US$0.0001 each and 1,000,000 shares of a par value of US$0.0001 each of such class or classes (however designated) as the board of directors of the Company may determine in accordance with Article 9 of the Memorandum and Articles.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58" w:name="page59"/>
    <w:bookmarkEnd w:id="58"/>
    <w:p>
      <w:pPr>
        <w:ind w:left="424" w:hanging="424"/>
        <w:spacing w:after="0"/>
        <w:tabs>
          <w:tab w:leader="none" w:pos="4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directors of the Company at the date of the Meeting and as at the date of this certificate were and are as follows:</w:t>
      </w:r>
    </w:p>
    <w:p>
      <w:pPr>
        <w:spacing w:after="0" w:line="117" w:lineRule="exact"/>
        <w:rPr>
          <w:rFonts w:ascii="Times New Roman" w:cs="Times New Roman" w:eastAsia="Times New Roman" w:hAnsi="Times New Roman"/>
          <w:sz w:val="18"/>
          <w:szCs w:val="18"/>
          <w:b w:val="1"/>
          <w:bCs w:val="1"/>
          <w:color w:val="auto"/>
        </w:rPr>
      </w:pPr>
    </w:p>
    <w:p>
      <w:pPr>
        <w:ind w:left="444" w:right="8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WANG Ye Corazon D. Sanders Ji Darren Xiaohui Patrick CASEY HUANG Ying HEYMAN Tomas MAO Li ZHANG Fangliang Chi Wai Gareth Kung MENG Jiange SALOVEY Peter</w:t>
      </w:r>
    </w:p>
    <w:p>
      <w:pPr>
        <w:spacing w:after="0" w:line="315" w:lineRule="exact"/>
        <w:rPr>
          <w:rFonts w:ascii="Times New Roman" w:cs="Times New Roman" w:eastAsia="Times New Roman" w:hAnsi="Times New Roman"/>
          <w:sz w:val="18"/>
          <w:szCs w:val="18"/>
          <w:b w:val="1"/>
          <w:bCs w:val="1"/>
          <w:color w:val="auto"/>
        </w:rPr>
      </w:pPr>
    </w:p>
    <w:p>
      <w:pPr>
        <w:ind w:left="424" w:hanging="424"/>
        <w:spacing w:after="0" w:line="282" w:lineRule="auto"/>
        <w:tabs>
          <w:tab w:leader="none" w:pos="4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members of the pricing committee of the board of directors of the Company at the date of the Committee Resolutions and as at the date of this certificate were and are as follows:</w:t>
      </w:r>
    </w:p>
    <w:p>
      <w:pPr>
        <w:spacing w:after="0" w:line="53" w:lineRule="exact"/>
        <w:rPr>
          <w:rFonts w:ascii="Times New Roman" w:cs="Times New Roman" w:eastAsia="Times New Roman" w:hAnsi="Times New Roman"/>
          <w:sz w:val="18"/>
          <w:szCs w:val="18"/>
          <w:b w:val="1"/>
          <w:bCs w:val="1"/>
          <w:color w:val="auto"/>
        </w:rPr>
      </w:pPr>
    </w:p>
    <w:p>
      <w:pPr>
        <w:ind w:left="444" w:right="898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HUANG Ying ZHANG Fangliang Chi Wai Gareth Kung</w:t>
      </w:r>
    </w:p>
    <w:p>
      <w:pPr>
        <w:spacing w:after="0" w:line="63" w:lineRule="exact"/>
        <w:rPr>
          <w:rFonts w:ascii="Times New Roman" w:cs="Times New Roman" w:eastAsia="Times New Roman" w:hAnsi="Times New Roman"/>
          <w:sz w:val="18"/>
          <w:szCs w:val="18"/>
          <w:b w:val="1"/>
          <w:bCs w:val="1"/>
          <w:color w:val="auto"/>
        </w:rPr>
      </w:pPr>
    </w:p>
    <w:p>
      <w:pPr>
        <w:jc w:val="both"/>
        <w:ind w:left="424" w:right="20" w:hanging="424"/>
        <w:spacing w:after="0" w:line="266" w:lineRule="auto"/>
        <w:tabs>
          <w:tab w:leader="none" w:pos="4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director of the Company considers the transactions contemplated by the Prospectus Supplement to be of commercial benefit to the Company and has acted in good faith in the best interests of the Company, and for a proper purpose of the Company in relation to the transactions which are the subject of the Opinion.</w:t>
      </w:r>
    </w:p>
    <w:p>
      <w:pPr>
        <w:spacing w:after="0" w:line="81" w:lineRule="exact"/>
        <w:rPr>
          <w:rFonts w:ascii="Times New Roman" w:cs="Times New Roman" w:eastAsia="Times New Roman" w:hAnsi="Times New Roman"/>
          <w:sz w:val="18"/>
          <w:szCs w:val="18"/>
          <w:b w:val="1"/>
          <w:bCs w:val="1"/>
          <w:color w:val="auto"/>
        </w:rPr>
      </w:pPr>
    </w:p>
    <w:p>
      <w:pPr>
        <w:ind w:left="424" w:right="40" w:hanging="424"/>
        <w:spacing w:after="0" w:line="256" w:lineRule="auto"/>
        <w:tabs>
          <w:tab w:leader="none" w:pos="4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that would have a material adverse effect on the business, properties, financial condition, results of operations or prospects of the Company or would prevent the Company from entering into, and/or adversely affect the Company’s ability to perform its obligations under, the Offering.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p>
      <w:pPr>
        <w:spacing w:after="0" w:line="187"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ignature Page to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59" w:name="page60"/>
    <w:bookmarkEnd w:id="59"/>
    <w:p>
      <w:pPr>
        <w:spacing w:after="0"/>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tab/>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17145</wp:posOffset>
            </wp:positionV>
            <wp:extent cx="22371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Ying Huang</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19"/>
          </w:cols>
          <w:pgMar w:left="440" w:top="486"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173990</wp:posOffset>
            </wp:positionV>
            <wp:extent cx="1131570" cy="582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315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 Announces Pricing of Public Offering</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BRIDGEWATER, NJ – June 17, 2026 – </w:t>
      </w:r>
      <w:r>
        <w:rPr>
          <w:rFonts w:ascii="Times New Roman" w:cs="Times New Roman" w:eastAsia="Times New Roman" w:hAnsi="Times New Roman"/>
          <w:sz w:val="18"/>
          <w:szCs w:val="18"/>
          <w:color w:val="auto"/>
        </w:rPr>
        <w:t>Legend Biotech Corporation (NASDAQ: LEGN) (“Legend Biotech” or the “Company”), a global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therapy, today announced the pricing of an underwritten public offering of 7,700,000 American Depositary Shares (“ADSs”), each representing two ordinary shares of the Company, at a public offering price of $29.35 per ADS. In addition, Legend Biotech has granted the underwriters a 30-day option to purchase up to an additional 1,155,000 ADSs at the public offering price, less underwriting discounts and commissions. All of the ADSs are being offered by Legend Biotech. The gross proceeds to Legend Biotech from the offering, before deducting underwriting discounts and commissions and estimated offering expenses payable by Legend Biotech, are expected to be approximately $226 million, excluding any proceeds from the exercise of the underwriters’ option to purchase additional ADSs. The offering is expected to close on June 23, 2026, subject to customary closing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Jefferies, Citigroup and Deutsche Bank Securities are serving as joint book-running managers for the offering.</w:t>
      </w:r>
    </w:p>
    <w:p>
      <w:pPr>
        <w:spacing w:after="0" w:line="225"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ADSs are being offered by Legend Biotech pursuant to an effective shelf registration statement that was previously filed with the Securities and Exchange Commission (“SEC”). The offering is being made only by means of a written prospectus and prospectus supplement that form a part of the registration statement. A preliminary prospectus supplement and accompanying prospectus relating to and describing the terms of the offering was filed with the SEC on June 17, 2026. The final prospectus supplement and accompanying prospectus relating to the offering will be filed with the SEC and will be available on the SEC’s website at www.sec.gov. A copy of the final prospectus supplement and the accompanying prospectus can be obtained, when available, from Morgan Stanley Asia Limited, Attention: Prospectus Department, 180 Varick Street,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New York, NY 10014, email: prospectus@morganstanley.com; Jefferies LLC, Attention: Equity Syndicate Prospectus Department, 520 Madison Avenue, New York, NY 10022, by telephone: (877) 821-7388, or by email: prospectus_department@jefferies.com; Citigroup, c/o Broadridge Financial Solutions, 1155 Long Island Avenue, Edgewood, NY 11717, or by telephone: (800) 831-9146; or Deutsche Bank Securities Inc., Attention: Prospectus Group, 1 Columbus Circle, New York, NY 10019, by telephone: (800) 503-4611, or by email: prospectus.cpdg@db.com.</w:t>
      </w:r>
    </w:p>
    <w:p>
      <w:pPr>
        <w:spacing w:after="0" w:line="19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 securities being offered,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Legend Biotech</w:t>
      </w:r>
    </w:p>
    <w:p>
      <w:pPr>
        <w:spacing w:after="0" w:line="121"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8"/>
          <w:szCs w:val="18"/>
          <w:color w:val="auto"/>
        </w:rPr>
        <w:t>With over 3,000 employees, Legend Biotech is the largest standalone cell therapy company and a pioneer in treatments that change cancer care forever. Legend Biotech is at the forefront of the CAR-T cell therapy revolution with CARVYKTI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sectPr>
          <w:pgSz w:w="11900" w:h="16838" w:orient="portrait"/>
          <w:cols w:equalWidth="0" w:num="1">
            <w:col w:w="11020"/>
          </w:cols>
          <w:pgMar w:left="440" w:top="117"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relating to the closing of and expected gross proceeds from the public offering.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the uncertainties related to market conditions and the completion of the proposed public offering on the anticipated terms or at all, and the other factors discussed in the “Risk Factors” section of Legend Biotech’s Annual Report on Form 20-F for the year ended December 31, 2025 filed with the SEC on March 10, 2026 as well as in Legend Biotech’s other filings with the SEC.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hereof, and Legend Biotech specifically disclaims any obligation to update any forward-looking statement, whether as a result of new information, future events or otherwise. Readers should not rely upon the information in this press release as current or accurate after its publication date.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Jessie Yeung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(732) 956-8271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jessie.yeung@legendbiotech.com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 Fox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(848) 388-8445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media@legendbiotech.com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 "/>
      <w:numFmt w:val="bullet"/>
      <w:start w:val="1"/>
    </w:lvl>
  </w:abstractNum>
  <w:abstractNum w:abstractNumId="1">
    <w:nsid w:val="5E884ADC"/>
    <w:multiLevelType w:val="hybridMultilevel"/>
    <w:lvl w:ilvl="0">
      <w:lvlJc w:val="left"/>
      <w:lvlText w:val="%1."/>
      <w:numFmt w:val="decimal"/>
      <w:start w:val="1"/>
    </w:lvl>
    <w:lvl w:ilvl="1">
      <w:lvlJc w:val="left"/>
      <w:lvlText w:val="(%2)"/>
      <w:numFmt w:val="lowerLetter"/>
      <w:start w:val="1"/>
    </w:lvl>
  </w:abstractNum>
  <w:abstractNum w:abstractNumId="2">
    <w:nsid w:val="51EAD36B"/>
    <w:multiLevelType w:val="hybridMultilevel"/>
    <w:lvl w:ilvl="0">
      <w:lvlJc w:val="left"/>
      <w:lvlText w:val="(%1)"/>
      <w:numFmt w:val="lowerLetter"/>
      <w:start w:val="3"/>
    </w:lvl>
  </w:abstractNum>
  <w:abstractNum w:abstractNumId="3">
    <w:nsid w:val="2D517796"/>
    <w:multiLevelType w:val="hybridMultilevel"/>
    <w:lvl w:ilvl="0">
      <w:lvlJc w:val="left"/>
      <w:lvlText w:val="(%1)"/>
      <w:numFmt w:val="lowerLetter"/>
      <w:start w:val="6"/>
    </w:lvl>
  </w:abstractNum>
  <w:abstractNum w:abstractNumId="4">
    <w:nsid w:val="580BD78F"/>
    <w:multiLevelType w:val="hybridMultilevel"/>
    <w:lvl w:ilvl="0">
      <w:lvlJc w:val="left"/>
      <w:lvlText w:val="(%1)"/>
      <w:numFmt w:val="lowerLetter"/>
      <w:start w:val="12"/>
    </w:lvl>
  </w:abstractNum>
  <w:abstractNum w:abstractNumId="5">
    <w:nsid w:val="153EA438"/>
    <w:multiLevelType w:val="hybridMultilevel"/>
    <w:lvl w:ilvl="0">
      <w:lvlJc w:val="left"/>
      <w:lvlText w:val="(%1)"/>
      <w:numFmt w:val="lowerLetter"/>
      <w:start w:val="17"/>
    </w:lvl>
  </w:abstractNum>
  <w:abstractNum w:abstractNumId="6">
    <w:nsid w:val="3855585C"/>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7">
    <w:nsid w:val="70A64E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
    <w:nsid w:val="6A2342EC"/>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9">
    <w:nsid w:val="2A487CB0"/>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0">
    <w:nsid w:val="1D4ED43B"/>
    <w:multiLevelType w:val="hybridMultilevel"/>
    <w:lvl w:ilvl="0">
      <w:lvlJc w:val="left"/>
      <w:lvlText w:val="(%1)"/>
      <w:numFmt w:val="lowerLetter"/>
      <w:start w:val="24"/>
    </w:lvl>
  </w:abstractNum>
  <w:abstractNum w:abstractNumId="11">
    <w:nsid w:val="725A06FB"/>
    <w:multiLevelType w:val="hybridMultilevel"/>
    <w:lvl w:ilvl="0">
      <w:lvlJc w:val="left"/>
      <w:lvlText w:val="(%1)"/>
      <w:numFmt w:val="lowerLetter"/>
      <w:start w:val="26"/>
    </w:lvl>
  </w:abstractNum>
  <w:abstractNum w:abstractNumId="12">
    <w:nsid w:val="2CD89A32"/>
    <w:multiLevelType w:val="hybridMultilevel"/>
    <w:lvl w:ilvl="0">
      <w:lvlJc w:val="left"/>
      <w:lvlText w:val="%1"/>
      <w:numFmt w:val="lowerRoman"/>
      <w:start w:val="1"/>
    </w:lvl>
    <w:lvl w:ilvl="1">
      <w:lvlJc w:val="left"/>
      <w:lvlText w:val="(%2)"/>
      <w:numFmt w:val="lowerLetter"/>
      <w:start w:val="27"/>
    </w:lvl>
  </w:abstractNum>
  <w:abstractNum w:abstractNumId="13">
    <w:nsid w:val="57E4CCAF"/>
    <w:multiLevelType w:val="hybridMultilevel"/>
    <w:lvl w:ilvl="0">
      <w:lvlJc w:val="left"/>
      <w:lvlText w:val="(%1)"/>
      <w:numFmt w:val="lowerRoman"/>
      <w:start w:val="6"/>
    </w:lvl>
    <w:lvl w:ilvl="1">
      <w:lvlJc w:val="left"/>
      <w:lvlText w:val="%2"/>
      <w:numFmt w:val="lowerLetter"/>
      <w:start w:val="1"/>
    </w:lvl>
  </w:abstractNum>
  <w:abstractNum w:abstractNumId="14">
    <w:nsid w:val="7A6D8D3C"/>
    <w:multiLevelType w:val="hybridMultilevel"/>
    <w:lvl w:ilvl="0">
      <w:lvlJc w:val="left"/>
      <w:lvlText w:val="%1"/>
      <w:numFmt w:val="decimal"/>
      <w:start w:val="1"/>
    </w:lvl>
    <w:lvl w:ilvl="1">
      <w:lvlJc w:val="left"/>
      <w:lvlText w:val="(%2)"/>
      <w:numFmt w:val="lowerLetter"/>
      <w:start w:val="28"/>
    </w:lvl>
  </w:abstractNum>
  <w:abstractNum w:abstractNumId="15">
    <w:nsid w:val="4B588F54"/>
    <w:multiLevelType w:val="hybridMultilevel"/>
    <w:lvl w:ilvl="0">
      <w:lvlJc w:val="left"/>
      <w:lvlText w:val="(%1)"/>
      <w:numFmt w:val="decimal"/>
      <w:start w:val="3"/>
    </w:lvl>
    <w:lvl w:ilvl="1">
      <w:lvlJc w:val="left"/>
      <w:lvlText w:val="(%2)"/>
      <w:numFmt w:val="lowerLetter"/>
      <w:start w:val="29"/>
    </w:lvl>
  </w:abstractNum>
  <w:abstractNum w:abstractNumId="16">
    <w:nsid w:val="542289EC"/>
    <w:multiLevelType w:val="hybridMultilevel"/>
    <w:lvl w:ilvl="0">
      <w:lvlJc w:val="left"/>
      <w:lvlText w:val="(%1)"/>
      <w:numFmt w:val="lowerLetter"/>
      <w:start w:val="30"/>
    </w:lvl>
  </w:abstractNum>
  <w:abstractNum w:abstractNumId="17">
    <w:nsid w:val="6DE91B18"/>
    <w:multiLevelType w:val="hybridMultilevel"/>
    <w:lvl w:ilvl="0">
      <w:lvlJc w:val="left"/>
      <w:lvlText w:val="(%1)"/>
      <w:numFmt w:val="lowerLetter"/>
      <w:start w:val="33"/>
    </w:lvl>
  </w:abstractNum>
  <w:abstractNum w:abstractNumId="18">
    <w:nsid w:val="38437FDB"/>
    <w:multiLevelType w:val="hybridMultilevel"/>
    <w:lvl w:ilvl="0">
      <w:lvlJc w:val="left"/>
      <w:lvlText w:val="%1"/>
      <w:numFmt w:val="lowerLetter"/>
      <w:start w:val="1"/>
    </w:lvl>
    <w:lvl w:ilvl="1">
      <w:lvlJc w:val="left"/>
      <w:lvlText w:val="(%2)"/>
      <w:numFmt w:val="lowerLetter"/>
      <w:start w:val="37"/>
    </w:lvl>
  </w:abstractNum>
  <w:abstractNum w:abstractNumId="19">
    <w:nsid w:val="7644A45C"/>
    <w:multiLevelType w:val="hybridMultilevel"/>
    <w:lvl w:ilvl="0">
      <w:lvlJc w:val="left"/>
      <w:lvlText w:val="(%1)"/>
      <w:numFmt w:val="lowerLetter"/>
      <w:start w:val="9"/>
    </w:lvl>
    <w:lvl w:ilvl="1">
      <w:lvlJc w:val="left"/>
      <w:lvlText w:val="(%2)"/>
      <w:numFmt w:val="lowerLetter"/>
      <w:start w:val="38"/>
    </w:lvl>
  </w:abstractNum>
  <w:abstractNum w:abstractNumId="20">
    <w:nsid w:val="32FFF902"/>
    <w:multiLevelType w:val="hybridMultilevel"/>
    <w:lvl w:ilvl="0">
      <w:lvlJc w:val="left"/>
      <w:lvlText w:val="(%1)"/>
      <w:numFmt w:val="lowerLetter"/>
      <w:start w:val="40"/>
    </w:lvl>
    <w:lvl w:ilvl="1">
      <w:lvlJc w:val="left"/>
      <w:lvlText w:val="%2."/>
      <w:numFmt w:val="lowerRoman"/>
      <w:start w:val="1"/>
    </w:lvl>
  </w:abstractNum>
  <w:abstractNum w:abstractNumId="21">
    <w:nsid w:val="684A481A"/>
    <w:multiLevelType w:val="hybridMultilevel"/>
    <w:lvl w:ilvl="0">
      <w:lvlJc w:val="left"/>
      <w:lvlText w:val="%1."/>
      <w:numFmt w:val="lowerRoman"/>
      <w:start w:val="2"/>
    </w:lvl>
  </w:abstractNum>
  <w:abstractNum w:abstractNumId="22">
    <w:nsid w:val="579478FE"/>
    <w:multiLevelType w:val="hybridMultilevel"/>
    <w:lvl w:ilvl="0">
      <w:lvlJc w:val="left"/>
      <w:lvlText w:val="%1"/>
      <w:numFmt w:val="lowerLetter"/>
      <w:start w:val="1"/>
    </w:lvl>
    <w:lvl w:ilvl="1">
      <w:lvlJc w:val="left"/>
      <w:lvlText w:val="(%2)"/>
      <w:numFmt w:val="lowerLetter"/>
      <w:start w:val="44"/>
    </w:lvl>
  </w:abstractNum>
  <w:abstractNum w:abstractNumId="23">
    <w:nsid w:val="749ABB43"/>
    <w:multiLevelType w:val="hybridMultilevel"/>
    <w:lvl w:ilvl="0">
      <w:lvlJc w:val="left"/>
      <w:lvlText w:val="(%1)"/>
      <w:numFmt w:val="lowerLetter"/>
      <w:start w:val="35"/>
    </w:lvl>
    <w:lvl w:ilvl="1">
      <w:lvlJc w:val="left"/>
      <w:lvlText w:val="(%2)"/>
      <w:numFmt w:val="lowerLetter"/>
      <w:start w:val="45"/>
    </w:lvl>
  </w:abstractNum>
  <w:abstractNum w:abstractNumId="24">
    <w:nsid w:val="3DC240FB"/>
    <w:multiLevelType w:val="hybridMultilevel"/>
    <w:lvl w:ilvl="0">
      <w:lvlJc w:val="left"/>
      <w:lvlText w:val="(%1)"/>
      <w:numFmt w:val="lowerLetter"/>
      <w:start w:val="46"/>
    </w:lvl>
  </w:abstractNum>
  <w:abstractNum w:abstractNumId="25">
    <w:nsid w:val="1BA026FA"/>
    <w:multiLevelType w:val="hybridMultilevel"/>
    <w:lvl w:ilvl="0">
      <w:lvlJc w:val="left"/>
      <w:lvlText w:val="%1"/>
      <w:numFmt w:val="decimal"/>
      <w:start w:val="1"/>
    </w:lvl>
    <w:lvl w:ilvl="1">
      <w:lvlJc w:val="left"/>
      <w:lvlText w:val="(%2)"/>
      <w:numFmt w:val="lowerLetter"/>
      <w:start w:val="52"/>
    </w:lvl>
  </w:abstractNum>
  <w:abstractNum w:abstractNumId="26">
    <w:nsid w:val="79A1DEAA"/>
    <w:multiLevelType w:val="hybridMultilevel"/>
    <w:lvl w:ilvl="0">
      <w:lvlJc w:val="left"/>
      <w:lvlText w:val="%1."/>
      <w:numFmt w:val="decimal"/>
      <w:start w:val="2"/>
    </w:lvl>
    <w:lvl w:ilvl="1">
      <w:lvlJc w:val="left"/>
      <w:lvlText w:val="%2"/>
      <w:numFmt w:val="lowerLetter"/>
      <w:start w:val="1"/>
    </w:lvl>
  </w:abstractNum>
  <w:abstractNum w:abstractNumId="27">
    <w:nsid w:val="75C6C33A"/>
    <w:multiLevelType w:val="hybridMultilevel"/>
    <w:lvl w:ilvl="0">
      <w:lvlJc w:val="left"/>
      <w:lvlText w:val="%1."/>
      <w:numFmt w:val="decimal"/>
      <w:start w:val="3"/>
    </w:lvl>
  </w:abstractNum>
  <w:abstractNum w:abstractNumId="28">
    <w:nsid w:val="12E685FB"/>
    <w:multiLevelType w:val="hybridMultilevel"/>
    <w:lvl w:ilvl="0">
      <w:lvlJc w:val="left"/>
      <w:lvlText w:val="%1."/>
      <w:numFmt w:val="decimal"/>
      <w:start w:val="4"/>
    </w:lvl>
  </w:abstractNum>
  <w:abstractNum w:abstractNumId="29">
    <w:nsid w:val="70C6A529"/>
    <w:multiLevelType w:val="hybridMultilevel"/>
    <w:lvl w:ilvl="0">
      <w:lvlJc w:val="left"/>
      <w:lvlText w:val="%1."/>
      <w:numFmt w:val="decimal"/>
      <w:start w:val="5"/>
    </w:lvl>
  </w:abstractNum>
  <w:abstractNum w:abstractNumId="30">
    <w:nsid w:val="520EEDD1"/>
    <w:multiLevelType w:val="hybridMultilevel"/>
    <w:lvl w:ilvl="0">
      <w:lvlJc w:val="left"/>
      <w:lvlText w:val="(%1)"/>
      <w:numFmt w:val="lowerLetter"/>
      <w:start w:val="1"/>
    </w:lvl>
    <w:lvl w:ilvl="1">
      <w:lvlJc w:val="left"/>
      <w:lvlText w:val="%2."/>
      <w:numFmt w:val="lowerRoman"/>
      <w:start w:val="1"/>
    </w:lvl>
  </w:abstractNum>
  <w:abstractNum w:abstractNumId="31">
    <w:nsid w:val="374A3FE6"/>
    <w:multiLevelType w:val="hybridMultilevel"/>
    <w:lvl w:ilvl="0">
      <w:lvlJc w:val="left"/>
      <w:lvlText w:val="%1"/>
      <w:numFmt w:val="lowerLetter"/>
      <w:start w:val="1"/>
    </w:lvl>
    <w:lvl w:ilvl="1">
      <w:lvlJc w:val="left"/>
      <w:lvlText w:val="%2."/>
      <w:numFmt w:val="lowerRoman"/>
      <w:start w:val="2"/>
    </w:lvl>
  </w:abstractNum>
  <w:abstractNum w:abstractNumId="32">
    <w:nsid w:val="4F4EF005"/>
    <w:multiLevelType w:val="hybridMultilevel"/>
    <w:lvl w:ilvl="0">
      <w:lvlJc w:val="left"/>
      <w:lvlText w:val="(%1)"/>
      <w:numFmt w:val="lowerLetter"/>
      <w:start w:val="2"/>
    </w:lvl>
    <w:lvl w:ilvl="1">
      <w:lvlJc w:val="left"/>
      <w:lvlText w:val="%2"/>
      <w:numFmt w:val="lowerRoman"/>
      <w:start w:val="1"/>
    </w:lvl>
  </w:abstractNum>
  <w:abstractNum w:abstractNumId="33">
    <w:nsid w:val="23F9C13C"/>
    <w:multiLevelType w:val="hybridMultilevel"/>
    <w:lvl w:ilvl="0">
      <w:lvlJc w:val="left"/>
      <w:lvlText w:val="(%1)"/>
      <w:numFmt w:val="lowerLetter"/>
      <w:start w:val="8"/>
    </w:lvl>
  </w:abstractNum>
  <w:abstractNum w:abstractNumId="34">
    <w:nsid w:val="649BB77C"/>
    <w:multiLevelType w:val="hybridMultilevel"/>
    <w:lvl w:ilvl="0">
      <w:lvlJc w:val="left"/>
      <w:lvlText w:val="(%1)"/>
      <w:numFmt w:val="lowerLetter"/>
      <w:start w:val="11"/>
    </w:lvl>
  </w:abstractNum>
  <w:abstractNum w:abstractNumId="35">
    <w:nsid w:val="275AC794"/>
    <w:multiLevelType w:val="hybridMultilevel"/>
    <w:lvl w:ilvl="0">
      <w:lvlJc w:val="left"/>
      <w:lvlText w:val="(%1)"/>
      <w:numFmt w:val="lowerLetter"/>
      <w:start w:val="13"/>
    </w:lvl>
    <w:lvl w:ilvl="1">
      <w:lvlJc w:val="left"/>
      <w:lvlText w:val="%2."/>
      <w:numFmt w:val="lowerRoman"/>
      <w:start w:val="1"/>
    </w:lvl>
  </w:abstractNum>
  <w:abstractNum w:abstractNumId="36">
    <w:nsid w:val="39386575"/>
    <w:multiLevelType w:val="hybridMultilevel"/>
    <w:lvl w:ilvl="0">
      <w:lvlJc w:val="left"/>
      <w:lvlText w:val="%1"/>
      <w:numFmt w:val="lowerLetter"/>
      <w:start w:val="1"/>
    </w:lvl>
    <w:lvl w:ilvl="1">
      <w:lvlJc w:val="left"/>
      <w:lvlText w:val="%2."/>
      <w:numFmt w:val="lowerRoman"/>
      <w:start w:val="7"/>
    </w:lvl>
  </w:abstractNum>
  <w:abstractNum w:abstractNumId="37">
    <w:nsid w:val="1CF10FD8"/>
    <w:multiLevelType w:val="hybridMultilevel"/>
    <w:lvl w:ilvl="0">
      <w:lvlJc w:val="left"/>
      <w:lvlText w:val="(%1)"/>
      <w:numFmt w:val="lowerLetter"/>
      <w:start w:val="15"/>
    </w:lvl>
    <w:lvl w:ilvl="1">
      <w:lvlJc w:val="left"/>
      <w:lvlText w:val="%2"/>
      <w:numFmt w:val="lowerRoman"/>
      <w:start w:val="1"/>
    </w:lvl>
  </w:abstractNum>
  <w:abstractNum w:abstractNumId="38">
    <w:nsid w:val="180115BE"/>
    <w:multiLevelType w:val="hybridMultilevel"/>
    <w:lvl w:ilvl="0">
      <w:lvlJc w:val="left"/>
      <w:lvlText w:val="%1"/>
      <w:numFmt w:val="decimal"/>
      <w:start w:val="1"/>
    </w:lvl>
    <w:lvl w:ilvl="1">
      <w:lvlJc w:val="left"/>
      <w:lvlText w:val="(%2)"/>
      <w:numFmt w:val="lowerLetter"/>
      <w:start w:val="17"/>
    </w:lvl>
  </w:abstractNum>
  <w:abstractNum w:abstractNumId="39">
    <w:nsid w:val="235BA861"/>
    <w:multiLevelType w:val="hybridMultilevel"/>
    <w:lvl w:ilvl="0">
      <w:lvlJc w:val="left"/>
      <w:lvlText w:val="%1."/>
      <w:numFmt w:val="decimal"/>
      <w:start w:val="6"/>
    </w:lvl>
    <w:lvl w:ilvl="1">
      <w:lvlJc w:val="left"/>
      <w:lvlText w:val="(%2)"/>
      <w:numFmt w:val="lowerLetter"/>
      <w:start w:val="1"/>
    </w:lvl>
  </w:abstractNum>
  <w:abstractNum w:abstractNumId="40">
    <w:nsid w:val="47398C89"/>
    <w:multiLevelType w:val="hybridMultilevel"/>
    <w:lvl w:ilvl="0">
      <w:lvlJc w:val="left"/>
      <w:lvlText w:val="(%1)"/>
      <w:numFmt w:val="lowerLetter"/>
      <w:start w:val="6"/>
    </w:lvl>
  </w:abstractNum>
  <w:abstractNum w:abstractNumId="41">
    <w:nsid w:val="354FE9F9"/>
    <w:multiLevelType w:val="hybridMultilevel"/>
    <w:lvl w:ilvl="0">
      <w:lvlJc w:val="left"/>
      <w:lvlText w:val="%1"/>
      <w:numFmt w:val="lowerRoman"/>
      <w:start w:val="1"/>
    </w:lvl>
    <w:lvl w:ilvl="1">
      <w:lvlJc w:val="left"/>
      <w:lvlText w:val="(%2)"/>
      <w:numFmt w:val="lowerRoman"/>
      <w:start w:val="1"/>
    </w:lvl>
  </w:abstractNum>
  <w:abstractNum w:abstractNumId="42">
    <w:nsid w:val="15B5AF5C"/>
    <w:multiLevelType w:val="hybridMultilevel"/>
    <w:lvl w:ilvl="0">
      <w:lvlJc w:val="left"/>
      <w:lvlText w:val="(%1)"/>
      <w:numFmt w:val="lowerRoman"/>
      <w:start w:val="2"/>
    </w:lvl>
    <w:lvl w:ilvl="1">
      <w:lvlJc w:val="left"/>
      <w:lvlText w:val="%2"/>
      <w:numFmt w:val="lowerRoman"/>
      <w:start w:val="1"/>
    </w:lvl>
  </w:abstractNum>
  <w:abstractNum w:abstractNumId="43">
    <w:nsid w:val="741226BB"/>
    <w:multiLevelType w:val="hybridMultilevel"/>
    <w:lvl w:ilvl="0">
      <w:lvlJc w:val="left"/>
      <w:lvlText w:val="(%1)"/>
      <w:numFmt w:val="lowerRoman"/>
      <w:start w:val="6"/>
    </w:lvl>
    <w:lvl w:ilvl="1">
      <w:lvlJc w:val="left"/>
      <w:lvlText w:val="%2"/>
      <w:numFmt w:val="lowerRoman"/>
      <w:start w:val="1"/>
    </w:lvl>
  </w:abstractNum>
  <w:abstractNum w:abstractNumId="44">
    <w:nsid w:val="D34B6A8"/>
    <w:multiLevelType w:val="hybridMultilevel"/>
    <w:lvl w:ilvl="0">
      <w:lvlJc w:val="left"/>
      <w:lvlText w:val="(%1)"/>
      <w:numFmt w:val="lowerRoman"/>
      <w:start w:val="8"/>
    </w:lvl>
    <w:lvl w:ilvl="1">
      <w:lvlJc w:val="left"/>
      <w:lvlText w:val="%2"/>
      <w:numFmt w:val="lowerRoman"/>
      <w:start w:val="1"/>
    </w:lvl>
  </w:abstractNum>
  <w:abstractNum w:abstractNumId="45">
    <w:nsid w:val="10233C99"/>
    <w:multiLevelType w:val="hybridMultilevel"/>
    <w:lvl w:ilvl="0">
      <w:lvlJc w:val="left"/>
      <w:lvlText w:val="(%1)"/>
      <w:numFmt w:val="lowerLetter"/>
      <w:start w:val="10"/>
    </w:lvl>
  </w:abstractNum>
  <w:abstractNum w:abstractNumId="46">
    <w:nsid w:val="3F6AB60F"/>
    <w:multiLevelType w:val="hybridMultilevel"/>
    <w:lvl w:ilvl="0">
      <w:lvlJc w:val="left"/>
      <w:lvlText w:val="(%1)"/>
      <w:numFmt w:val="lowerLetter"/>
      <w:start w:val="15"/>
    </w:lvl>
  </w:abstractNum>
  <w:abstractNum w:abstractNumId="47">
    <w:nsid w:val="61574095"/>
    <w:multiLevelType w:val="hybridMultilevel"/>
    <w:lvl w:ilvl="0">
      <w:lvlJc w:val="left"/>
      <w:lvlText w:val="(%1)"/>
      <w:numFmt w:val="upperLetter"/>
      <w:start w:val="6"/>
    </w:lvl>
    <w:lvl w:ilvl="1">
      <w:lvlJc w:val="left"/>
      <w:lvlText w:val="%2."/>
      <w:numFmt w:val="decimal"/>
      <w:start w:val="7"/>
    </w:lvl>
  </w:abstractNum>
  <w:abstractNum w:abstractNumId="48">
    <w:nsid w:val="7E0C57B1"/>
    <w:multiLevelType w:val="hybridMultilevel"/>
    <w:lvl w:ilvl="0">
      <w:lvlJc w:val="left"/>
      <w:lvlText w:val="%1."/>
      <w:numFmt w:val="decimal"/>
      <w:start w:val="8"/>
    </w:lvl>
    <w:lvl w:ilvl="1">
      <w:lvlJc w:val="left"/>
      <w:lvlText w:val="(%2)"/>
      <w:numFmt w:val="lowerLetter"/>
      <w:start w:val="1"/>
    </w:lvl>
  </w:abstractNum>
  <w:abstractNum w:abstractNumId="49">
    <w:nsid w:val="77AE35EB"/>
    <w:multiLevelType w:val="hybridMultilevel"/>
    <w:lvl w:ilvl="0">
      <w:lvlJc w:val="left"/>
      <w:lvlText w:val="(%1)"/>
      <w:numFmt w:val="lowerLetter"/>
      <w:start w:val="3"/>
    </w:lvl>
  </w:abstractNum>
  <w:abstractNum w:abstractNumId="50">
    <w:nsid w:val="579BE4F1"/>
    <w:multiLevelType w:val="hybridMultilevel"/>
    <w:lvl w:ilvl="0">
      <w:lvlJc w:val="left"/>
      <w:lvlText w:val="(%1)"/>
      <w:numFmt w:val="lowerLetter"/>
      <w:start w:val="4"/>
    </w:lvl>
  </w:abstractNum>
  <w:abstractNum w:abstractNumId="51">
    <w:nsid w:val="310C50B3"/>
    <w:multiLevelType w:val="hybridMultilevel"/>
    <w:lvl w:ilvl="0">
      <w:lvlJc w:val="left"/>
      <w:lvlText w:val="%1"/>
      <w:numFmt w:val="lowerLetter"/>
      <w:start w:val="1"/>
    </w:lvl>
    <w:lvl w:ilvl="1">
      <w:lvlJc w:val="left"/>
      <w:lvlText w:val="(%2)"/>
      <w:numFmt w:val="lowerLetter"/>
      <w:start w:val="6"/>
    </w:lvl>
  </w:abstractNum>
  <w:abstractNum w:abstractNumId="52">
    <w:nsid w:val="5FF87E05"/>
    <w:multiLevelType w:val="hybridMultilevel"/>
    <w:lvl w:ilvl="0">
      <w:lvlJc w:val="left"/>
      <w:lvlText w:val="(%1)"/>
      <w:numFmt w:val="lowerLetter"/>
      <w:start w:val="35"/>
    </w:lvl>
    <w:lvl w:ilvl="1">
      <w:lvlJc w:val="left"/>
      <w:lvlText w:val="%2"/>
      <w:numFmt w:val="lowerLetter"/>
      <w:start w:val="1"/>
    </w:lvl>
  </w:abstractNum>
  <w:abstractNum w:abstractNumId="53">
    <w:nsid w:val="2F305DEF"/>
    <w:multiLevelType w:val="hybridMultilevel"/>
    <w:lvl w:ilvl="0">
      <w:lvlJc w:val="left"/>
      <w:lvlText w:val="%1."/>
      <w:numFmt w:val="decimal"/>
      <w:start w:val="9"/>
    </w:lvl>
  </w:abstractNum>
  <w:abstractNum w:abstractNumId="54">
    <w:nsid w:val="25A70BF7"/>
    <w:multiLevelType w:val="hybridMultilevel"/>
    <w:lvl w:ilvl="0">
      <w:lvlJc w:val="left"/>
      <w:lvlText w:val="%1."/>
      <w:numFmt w:val="decimal"/>
      <w:start w:val="11"/>
    </w:lvl>
  </w:abstractNum>
  <w:abstractNum w:abstractNumId="55">
    <w:nsid w:val="1DBABF00"/>
    <w:multiLevelType w:val="hybridMultilevel"/>
    <w:lvl w:ilvl="0">
      <w:lvlJc w:val="left"/>
      <w:lvlText w:val="%1"/>
      <w:numFmt w:val="lowerLetter"/>
      <w:start w:val="1"/>
    </w:lvl>
    <w:lvl w:ilvl="1">
      <w:lvlJc w:val="left"/>
      <w:lvlText w:val="(%2)"/>
      <w:numFmt w:val="lowerLetter"/>
      <w:start w:val="2"/>
    </w:lvl>
  </w:abstractNum>
  <w:abstractNum w:abstractNumId="56">
    <w:nsid w:val="4AD084E9"/>
    <w:multiLevelType w:val="hybridMultilevel"/>
    <w:lvl w:ilvl="0">
      <w:lvlJc w:val="left"/>
      <w:lvlText w:val="(%1)"/>
      <w:numFmt w:val="lowerLetter"/>
      <w:start w:val="61"/>
    </w:lvl>
    <w:lvl w:ilvl="1">
      <w:lvlJc w:val="left"/>
      <w:lvlText w:val="%2"/>
      <w:numFmt w:val="lowerLetter"/>
      <w:start w:val="1"/>
    </w:lvl>
  </w:abstractNum>
  <w:abstractNum w:abstractNumId="57">
    <w:nsid w:val="1F48EAA1"/>
    <w:multiLevelType w:val="hybridMultilevel"/>
    <w:lvl w:ilvl="0">
      <w:lvlJc w:val="left"/>
      <w:lvlText w:val="%1."/>
      <w:numFmt w:val="decimal"/>
      <w:start w:val="12"/>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decimal"/>
      <w:start w:val="13"/>
    </w:lvl>
  </w:abstractNum>
  <w:abstractNum w:abstractNumId="60">
    <w:nsid w:val="100F8FCA"/>
    <w:multiLevelType w:val="hybridMultilevel"/>
    <w:lvl w:ilvl="0">
      <w:lvlJc w:val="left"/>
      <w:lvlText w:val="%1."/>
      <w:numFmt w:val="decimal"/>
      <w:start w:val="16"/>
    </w:lvl>
  </w:abstractNum>
  <w:abstractNum w:abstractNumId="61">
    <w:nsid w:val="6590700B"/>
    <w:multiLevelType w:val="hybridMultilevel"/>
    <w:lvl w:ilvl="0">
      <w:lvlJc w:val="left"/>
      <w:lvlText w:val="%1."/>
      <w:numFmt w:val="decimal"/>
      <w:start w:val="17"/>
    </w:lvl>
  </w:abstractNum>
  <w:abstractNum w:abstractNumId="62">
    <w:nsid w:val="15014ACB"/>
    <w:multiLevelType w:val="hybridMultilevel"/>
    <w:lvl w:ilvl="0">
      <w:lvlJc w:val="left"/>
      <w:lvlText w:val="%1."/>
      <w:numFmt w:val="decimal"/>
      <w:start w:val="1"/>
    </w:lvl>
    <w:lvl w:ilvl="1">
      <w:lvlJc w:val="left"/>
      <w:lvlText w:val="•"/>
      <w:numFmt w:val="bullet"/>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5"/>
    </w:lvl>
  </w:abstractNum>
  <w:abstractNum w:abstractNumId="65">
    <w:nsid w:val="799D0247"/>
    <w:multiLevelType w:val="hybridMultilevel"/>
    <w:lvl w:ilvl="0">
      <w:lvlJc w:val="left"/>
      <w:lvlText w:val="1"/>
      <w:numFmt w:val="bullet"/>
      <w:start w:val="1"/>
    </w:lvl>
  </w:abstractNum>
  <w:abstractNum w:abstractNumId="66">
    <w:nsid w:val="6B94764"/>
    <w:multiLevelType w:val="hybridMultilevel"/>
    <w:lvl w:ilvl="0">
      <w:lvlJc w:val="left"/>
      <w:lvlText w:val="2"/>
      <w:numFmt w:val="bullet"/>
      <w:start w:val="1"/>
    </w:lvl>
  </w:abstractNum>
  <w:abstractNum w:abstractNumId="67">
    <w:nsid w:val="42C296BD"/>
    <w:multiLevelType w:val="hybridMultilevel"/>
    <w:lvl w:ilvl="0">
      <w:lvlJc w:val="left"/>
      <w:lvlText w:val="3"/>
      <w:numFmt w:val="bullet"/>
      <w:start w:val="1"/>
    </w:lvl>
  </w:abstractNum>
  <w:abstractNum w:abstractNumId="68">
    <w:nsid w:val="168E121F"/>
    <w:multiLevelType w:val="hybridMultilevel"/>
    <w:lvl w:ilvl="0">
      <w:lvlJc w:val="left"/>
      <w:lvlText w:val="4"/>
      <w:numFmt w:val="bullet"/>
      <w:start w:val="1"/>
    </w:lvl>
  </w:abstractNum>
  <w:abstractNum w:abstractNumId="69">
    <w:nsid w:val="1EBA5D23"/>
    <w:multiLevelType w:val="hybridMultilevel"/>
    <w:lvl w:ilvl="0">
      <w:lvlJc w:val="left"/>
      <w:lvlText w:val="5"/>
      <w:numFmt w:val="bullet"/>
      <w:start w:val="1"/>
    </w:lvl>
  </w:abstractNum>
  <w:abstractNum w:abstractNumId="70">
    <w:nsid w:val="661E3F1E"/>
    <w:multiLevelType w:val="hybridMultilevel"/>
    <w:lvl w:ilvl="0">
      <w:lvlJc w:val="left"/>
      <w:lvlText w:val="6"/>
      <w:numFmt w:val="bullet"/>
      <w:start w:val="1"/>
    </w:lvl>
  </w:abstractNum>
  <w:abstractNum w:abstractNumId="71">
    <w:nsid w:val="5DC79EA8"/>
    <w:multiLevelType w:val="hybridMultilevel"/>
    <w:lvl w:ilvl="0">
      <w:lvlJc w:val="left"/>
      <w:lvlText w:val="7"/>
      <w:numFmt w:val="bullet"/>
      <w:start w:val="1"/>
    </w:lvl>
  </w:abstractNum>
  <w:abstractNum w:abstractNumId="72">
    <w:nsid w:val="540A471C"/>
    <w:multiLevelType w:val="hybridMultilevel"/>
    <w:lvl w:ilvl="0">
      <w:lvlJc w:val="left"/>
      <w:lvlText w:val="8"/>
      <w:numFmt w:val="bullet"/>
      <w:start w:val="1"/>
    </w:lvl>
  </w:abstractNum>
  <w:abstractNum w:abstractNumId="73">
    <w:nsid w:val="7BD3EE7B"/>
    <w:multiLevelType w:val="hybridMultilevel"/>
    <w:lvl w:ilvl="0">
      <w:lvlJc w:val="left"/>
      <w:lvlText w:val="9"/>
      <w:numFmt w:val="bullet"/>
      <w:start w:val="1"/>
    </w:lvl>
  </w:abstractNum>
  <w:abstractNum w:abstractNumId="74">
    <w:nsid w:val="51D9C564"/>
    <w:multiLevelType w:val="hybridMultilevel"/>
    <w:lvl w:ilvl="0">
      <w:lvlJc w:val="left"/>
      <w:lvlText w:val="%1"/>
      <w:numFmt w:val="decimal"/>
      <w:start w:val="10"/>
    </w:lvl>
  </w:abstractNum>
  <w:abstractNum w:abstractNumId="75">
    <w:nsid w:val="613EFDC5"/>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2026-06-22T15:55:31Z</dcterms:created>
  <dcterms:modified xsi:type="dcterms:W3CDTF">2026-06-22T15:55:31Z</dcterms:modified>
</cp:coreProperties>
</file>