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Date of Report: April 14, 2026</w:t>
      </w:r>
    </w:p>
    <w:p>
      <w:pPr>
        <w:spacing w:after="0" w:line="2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Somerset, New Jersey 08873</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660"/>
        <w:spacing w:after="0" w:line="207" w:lineRule="exact"/>
        <w:tabs>
          <w:tab w:leader="none" w:pos="52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334645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720725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479"/>
          </w:cols>
          <w:pgMar w:left="980" w:top="61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Legend Biotech Announces Preliminary Sales for CARVYKTI</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for the Quarter Ended March 31, 2026</w:t>
      </w:r>
    </w:p>
    <w:p>
      <w:pPr>
        <w:spacing w:after="0" w:line="13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Pursuant to the Collaboration and License Agreement dated as of December 21, 2017, as amended, between Legend Biotech USA Inc., Legend Biotech Ireland Limited, Janssen Biotech, Inc. and Janssen Pharmaceutica NV (together, “</w:t>
      </w:r>
      <w:r>
        <w:rPr>
          <w:rFonts w:ascii="Times New Roman" w:cs="Times New Roman" w:eastAsia="Times New Roman" w:hAnsi="Times New Roman"/>
          <w:sz w:val="18"/>
          <w:szCs w:val="18"/>
          <w:b w:val="1"/>
          <w:bCs w:val="1"/>
          <w:color w:val="auto"/>
        </w:rPr>
        <w:t>Janssen</w:t>
      </w:r>
      <w:r>
        <w:rPr>
          <w:rFonts w:ascii="Times New Roman" w:cs="Times New Roman" w:eastAsia="Times New Roman" w:hAnsi="Times New Roman"/>
          <w:sz w:val="18"/>
          <w:szCs w:val="18"/>
          <w:color w:val="auto"/>
        </w:rPr>
        <w:t>”), on April 14, 2026, Legend Biotech Corporation (“</w:t>
      </w:r>
      <w:r>
        <w:rPr>
          <w:rFonts w:ascii="Times New Roman" w:cs="Times New Roman" w:eastAsia="Times New Roman" w:hAnsi="Times New Roman"/>
          <w:sz w:val="18"/>
          <w:szCs w:val="18"/>
          <w:b w:val="1"/>
          <w:bCs w:val="1"/>
          <w:color w:val="auto"/>
        </w:rPr>
        <w:t>Legend</w:t>
      </w:r>
    </w:p>
    <w:p>
      <w:pPr>
        <w:jc w:val="both"/>
        <w:ind w:right="40"/>
        <w:spacing w:after="0" w:line="221" w:lineRule="auto"/>
        <w:rPr>
          <w:sz w:val="20"/>
          <w:szCs w:val="20"/>
          <w:color w:val="auto"/>
        </w:rPr>
      </w:pPr>
      <w:r>
        <w:rPr>
          <w:rFonts w:ascii="Times New Roman" w:cs="Times New Roman" w:eastAsia="Times New Roman" w:hAnsi="Times New Roman"/>
          <w:sz w:val="18"/>
          <w:szCs w:val="18"/>
          <w:b w:val="1"/>
          <w:bCs w:val="1"/>
          <w:color w:val="auto"/>
        </w:rPr>
        <w:t>Biotech</w:t>
      </w:r>
      <w:r>
        <w:rPr>
          <w:rFonts w:ascii="Times New Roman" w:cs="Times New Roman" w:eastAsia="Times New Roman" w:hAnsi="Times New Roman"/>
          <w:sz w:val="18"/>
          <w:szCs w:val="18"/>
          <w:color w:val="auto"/>
        </w:rPr>
        <w:t>”) announced that CARVYKTI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approximately $597 million in net trade sales during the quarter ended March 31, 2026. The net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figure is based on information provided to Legend Biotech by Janssen, and Legend Biotech has not independently verified the accuracy of such sales figure.</w:t>
      </w:r>
    </w:p>
    <w:p>
      <w:pPr>
        <w:spacing w:after="0" w:line="1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sales figure is based on information available to Legend Biotech as of the date of this Form 6-K, and the determination of the amount of any revenue or gross profit to be recorded in Legend Biotech’s consolidated statement of operations is subject to completion by management of Legend Biotech of its financial statements as of and for the period ended March 31, 2026. Legend Biotech’s independent registered public accountants have not audited, reviewed or performed any procedures with respect to this data and accordingly they have not expressed an opinion or provided any other form of assurance with respect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CARVYKTI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including Legend Biotech’s expectations for net trade sales and resulting gross profit of</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CARVYKTI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as well as the other factors discussed in the “Risk Factors” section of the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spacing w:after="0" w:line="1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2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w:t>
            </w:r>
          </w:p>
        </w:tc>
      </w:tr>
      <w:tr>
        <w:trPr>
          <w:trHeight w:val="191"/>
        </w:trPr>
        <w:tc>
          <w:tcPr>
            <w:tcW w:w="3520" w:type="dxa"/>
            <w:vAlign w:val="bottom"/>
          </w:tcPr>
          <w:p>
            <w:pPr>
              <w:spacing w:after="0"/>
              <w:rPr>
                <w:sz w:val="16"/>
                <w:szCs w:val="16"/>
                <w:color w:val="auto"/>
              </w:rPr>
            </w:pPr>
          </w:p>
        </w:tc>
        <w:tc>
          <w:tcPr>
            <w:tcW w:w="256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520" w:type="dxa"/>
            <w:vAlign w:val="bottom"/>
          </w:tcPr>
          <w:p>
            <w:pPr>
              <w:spacing w:after="0"/>
              <w:rPr>
                <w:sz w:val="20"/>
                <w:szCs w:val="20"/>
                <w:color w:val="auto"/>
              </w:rPr>
            </w:pPr>
          </w:p>
        </w:tc>
        <w:tc>
          <w:tcPr>
            <w:tcW w:w="2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6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2026-04-14T06:32:50Z</dcterms:created>
  <dcterms:modified xsi:type="dcterms:W3CDTF">2026-04-14T06:32:50Z</dcterms:modified>
</cp:coreProperties>
</file>